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4BE074" w14:textId="77777777" w:rsidR="00421FEF" w:rsidRDefault="00421FEF">
      <w:pPr>
        <w:spacing w:before="520"/>
      </w:pPr>
    </w:p>
    <w:p w14:paraId="354BE075" w14:textId="7D696BFE" w:rsidR="00421FEF" w:rsidRDefault="00B87395">
      <w:pPr>
        <w:spacing w:after="40"/>
        <w:jc w:val="center"/>
      </w:pPr>
      <w:r>
        <w:rPr>
          <w:noProof/>
        </w:rPr>
        <w:drawing>
          <wp:inline distT="0" distB="0" distL="0" distR="0" wp14:anchorId="6A406DF9" wp14:editId="3E3F237D">
            <wp:extent cx="5248275" cy="5248275"/>
            <wp:effectExtent l="0" t="0" r="9525" b="9525"/>
            <wp:docPr id="17331773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48275" cy="5248275"/>
                    </a:xfrm>
                    <a:prstGeom prst="rect">
                      <a:avLst/>
                    </a:prstGeom>
                    <a:noFill/>
                    <a:ln>
                      <a:noFill/>
                    </a:ln>
                  </pic:spPr>
                </pic:pic>
              </a:graphicData>
            </a:graphic>
          </wp:inline>
        </w:drawing>
      </w:r>
    </w:p>
    <w:p w14:paraId="12B3E3A9" w14:textId="77777777" w:rsidR="002C7A54" w:rsidRDefault="002C7A54">
      <w:pPr>
        <w:spacing w:after="40"/>
        <w:jc w:val="center"/>
      </w:pPr>
    </w:p>
    <w:p w14:paraId="354BE077" w14:textId="48CD1943" w:rsidR="00421FEF" w:rsidRDefault="008557A3" w:rsidP="00C31F2B">
      <w:pPr>
        <w:spacing w:before="40" w:after="90"/>
        <w:jc w:val="center"/>
      </w:pPr>
      <w:r w:rsidRPr="008557A3">
        <w:rPr>
          <w:rFonts w:ascii="Georgia" w:eastAsia="Georgia" w:hAnsi="Georgia" w:cs="Georgia"/>
          <w:b/>
          <w:bCs/>
          <w:color w:val="1B5E20"/>
          <w:sz w:val="46"/>
          <w:szCs w:val="46"/>
        </w:rPr>
        <w:t xml:space="preserve">Three Reasons to Choose </w:t>
      </w:r>
      <w:r w:rsidR="00CA5A31">
        <w:rPr>
          <w:rFonts w:ascii="Georgia" w:eastAsia="Georgia" w:hAnsi="Georgia" w:cs="Georgia"/>
          <w:b/>
          <w:bCs/>
          <w:color w:val="1B5E20"/>
          <w:sz w:val="46"/>
          <w:szCs w:val="46"/>
        </w:rPr>
        <w:t>Vegan</w:t>
      </w:r>
      <w:r w:rsidR="00C31F2B" w:rsidRPr="00C31F2B">
        <w:rPr>
          <w:rFonts w:ascii="Georgia" w:eastAsia="Georgia" w:hAnsi="Georgia" w:cs="Georgia"/>
          <w:b/>
          <w:bCs/>
          <w:color w:val="1B5E20"/>
          <w:sz w:val="46"/>
          <w:szCs w:val="46"/>
        </w:rPr>
        <w:t>.</w:t>
      </w:r>
      <w:r w:rsidR="00C31F2B">
        <w:rPr>
          <w:rFonts w:ascii="Georgia" w:eastAsia="Georgia" w:hAnsi="Georgia" w:cs="Georgia"/>
          <w:b/>
          <w:bCs/>
          <w:color w:val="1B5E20"/>
          <w:sz w:val="46"/>
          <w:szCs w:val="46"/>
        </w:rPr>
        <w:br/>
      </w:r>
      <w:r w:rsidR="006976E9">
        <w:rPr>
          <w:noProof/>
        </w:rPr>
        <w:drawing>
          <wp:inline distT="0" distB="0" distL="0" distR="0" wp14:anchorId="354BE144" wp14:editId="354BE145">
            <wp:extent cx="1905000" cy="266700"/>
            <wp:effectExtent l="0" t="0" r="0" b="0"/>
            <wp:docPr id="2020565556" name="leaf_divider.png" descr="leaf_divider.png" title="leaf_divi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8"/>
                    <a:srcRect/>
                    <a:stretch>
                      <a:fillRect/>
                    </a:stretch>
                  </pic:blipFill>
                  <pic:spPr bwMode="auto">
                    <a:xfrm>
                      <a:off x="0" y="0"/>
                      <a:ext cx="1905000" cy="266700"/>
                    </a:xfrm>
                    <a:prstGeom prst="rect">
                      <a:avLst/>
                    </a:prstGeom>
                  </pic:spPr>
                </pic:pic>
              </a:graphicData>
            </a:graphic>
          </wp:inline>
        </w:drawing>
      </w:r>
    </w:p>
    <w:p w14:paraId="354BE078" w14:textId="77777777" w:rsidR="00421FEF" w:rsidRDefault="006976E9">
      <w:pPr>
        <w:spacing w:after="40"/>
        <w:jc w:val="center"/>
      </w:pPr>
      <w:r>
        <w:rPr>
          <w:rFonts w:ascii="Georgia" w:eastAsia="Georgia" w:hAnsi="Georgia" w:cs="Georgia"/>
          <w:i/>
          <w:iCs/>
          <w:color w:val="3F6B2E"/>
          <w:sz w:val="23"/>
          <w:szCs w:val="23"/>
        </w:rPr>
        <w:t>Vegan for a healthier you, a kinder planet, and a compassionate world</w:t>
      </w:r>
    </w:p>
    <w:p w14:paraId="354BE079" w14:textId="77777777" w:rsidR="00421FEF" w:rsidRDefault="006976E9">
      <w:pPr>
        <w:spacing w:before="300" w:after="18"/>
        <w:jc w:val="center"/>
      </w:pPr>
      <w:r>
        <w:rPr>
          <w:b/>
          <w:bCs/>
          <w:color w:val="1B5E20"/>
          <w:sz w:val="26"/>
          <w:szCs w:val="26"/>
        </w:rPr>
        <w:t>loveourearth.com.au</w:t>
      </w:r>
    </w:p>
    <w:p w14:paraId="354BE07B" w14:textId="7F4FF2A2" w:rsidR="00421FEF" w:rsidRDefault="00B87395">
      <w:pPr>
        <w:sectPr w:rsidR="00421FEF">
          <w:pgSz w:w="12240" w:h="15840"/>
          <w:pgMar w:top="1440" w:right="1440" w:bottom="1440" w:left="1440" w:header="708" w:footer="708" w:gutter="0"/>
          <w:cols w:space="720"/>
          <w:docGrid w:linePitch="360"/>
        </w:sectPr>
      </w:pPr>
      <w:r>
        <w:rPr>
          <w:b/>
          <w:bCs/>
          <w:color w:val="7A7A7A"/>
          <w:sz w:val="17"/>
          <w:szCs w:val="17"/>
        </w:rPr>
        <w:br/>
      </w:r>
    </w:p>
    <w:p w14:paraId="354BE07C" w14:textId="38DD7C2E" w:rsidR="00421FEF" w:rsidRDefault="006976E9">
      <w:pPr>
        <w:spacing w:before="80" w:after="200" w:line="304" w:lineRule="auto"/>
      </w:pPr>
      <w:r>
        <w:rPr>
          <w:color w:val="333333"/>
          <w:sz w:val="26"/>
          <w:szCs w:val="26"/>
        </w:rPr>
        <w:lastRenderedPageBreak/>
        <w:t xml:space="preserve">What if a single daily choice — what you put on your plate — could protect your body, help heal the planet, and spare billions of living creatures from a life of suffering? The case for </w:t>
      </w:r>
      <w:r w:rsidR="00BA04E1" w:rsidRPr="00BA04E1">
        <w:rPr>
          <w:color w:val="333333"/>
          <w:sz w:val="26"/>
          <w:szCs w:val="26"/>
        </w:rPr>
        <w:t xml:space="preserve">plant-based diet </w:t>
      </w:r>
      <w:r>
        <w:rPr>
          <w:color w:val="333333"/>
          <w:sz w:val="26"/>
          <w:szCs w:val="26"/>
        </w:rPr>
        <w:t>comes down to three simple ideas: it is good for your health, good for the Earth, and good for the animals we share it with. The evidence is overwhelming, the science is settled, and the change is simpler than you might think.</w:t>
      </w:r>
    </w:p>
    <w:p w14:paraId="354BE07D" w14:textId="77777777" w:rsidR="00421FEF" w:rsidRDefault="006976E9">
      <w:pPr>
        <w:spacing w:before="120" w:after="160"/>
        <w:jc w:val="center"/>
      </w:pPr>
      <w:r>
        <w:rPr>
          <w:noProof/>
        </w:rPr>
        <w:drawing>
          <wp:inline distT="0" distB="0" distL="0" distR="0" wp14:anchorId="354BE146" wp14:editId="354BE147">
            <wp:extent cx="2000250" cy="285750"/>
            <wp:effectExtent l="0" t="0" r="0" b="0"/>
            <wp:docPr id="1273458538" name="leaf_divider.png" descr="leaf_divider.png" title="leaf_divi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8"/>
                    <a:srcRect/>
                    <a:stretch>
                      <a:fillRect/>
                    </a:stretch>
                  </pic:blipFill>
                  <pic:spPr bwMode="auto">
                    <a:xfrm>
                      <a:off x="0" y="0"/>
                      <a:ext cx="2000250" cy="285750"/>
                    </a:xfrm>
                    <a:prstGeom prst="rect">
                      <a:avLst/>
                    </a:prstGeom>
                  </pic:spPr>
                </pic:pic>
              </a:graphicData>
            </a:graphic>
          </wp:inline>
        </w:drawing>
      </w:r>
    </w:p>
    <w:tbl>
      <w:tblPr>
        <w:tblW w:w="9360"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120"/>
        <w:gridCol w:w="3120"/>
        <w:gridCol w:w="3120"/>
      </w:tblGrid>
      <w:tr w:rsidR="00421FEF" w14:paraId="354BE084" w14:textId="77777777">
        <w:tc>
          <w:tcPr>
            <w:tcW w:w="3120" w:type="dxa"/>
            <w:tcBorders>
              <w:top w:val="single" w:sz="12" w:space="0" w:color="FFFFFF"/>
              <w:left w:val="single" w:sz="12" w:space="0" w:color="FFFFFF"/>
              <w:bottom w:val="single" w:sz="12" w:space="0" w:color="FFFFFF"/>
              <w:right w:val="single" w:sz="12" w:space="0" w:color="FFFFFF"/>
            </w:tcBorders>
            <w:shd w:val="clear" w:color="auto" w:fill="EFF6E5"/>
            <w:tcMar>
              <w:top w:w="180" w:type="dxa"/>
              <w:left w:w="120" w:type="dxa"/>
              <w:bottom w:w="180" w:type="dxa"/>
              <w:right w:w="120" w:type="dxa"/>
            </w:tcMar>
            <w:vAlign w:val="center"/>
          </w:tcPr>
          <w:p w14:paraId="354BE07E" w14:textId="77777777" w:rsidR="00421FEF" w:rsidRDefault="006976E9">
            <w:pPr>
              <w:spacing w:after="70"/>
              <w:jc w:val="center"/>
            </w:pPr>
            <w:r>
              <w:rPr>
                <w:noProof/>
              </w:rPr>
              <w:drawing>
                <wp:inline distT="0" distB="0" distL="0" distR="0" wp14:anchorId="354BE148" wp14:editId="354BE149">
                  <wp:extent cx="628650" cy="628650"/>
                  <wp:effectExtent l="0" t="0" r="0" b="0"/>
                  <wp:docPr id="1873890057" name="icon_health.png" descr="icon_health.png" title="icon_healt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9"/>
                          <a:srcRect/>
                          <a:stretch>
                            <a:fillRect/>
                          </a:stretch>
                        </pic:blipFill>
                        <pic:spPr bwMode="auto">
                          <a:xfrm>
                            <a:off x="0" y="0"/>
                            <a:ext cx="628650" cy="628650"/>
                          </a:xfrm>
                          <a:prstGeom prst="rect">
                            <a:avLst/>
                          </a:prstGeom>
                        </pic:spPr>
                      </pic:pic>
                    </a:graphicData>
                  </a:graphic>
                </wp:inline>
              </w:drawing>
            </w:r>
          </w:p>
          <w:p w14:paraId="354BE07F" w14:textId="77777777" w:rsidR="00421FEF" w:rsidRDefault="006976E9">
            <w:pPr>
              <w:jc w:val="center"/>
            </w:pPr>
            <w:r>
              <w:rPr>
                <w:rFonts w:ascii="Georgia" w:eastAsia="Georgia" w:hAnsi="Georgia" w:cs="Georgia"/>
                <w:b/>
                <w:bCs/>
                <w:color w:val="1B5E20"/>
              </w:rPr>
              <w:t>Love Your Health</w:t>
            </w:r>
          </w:p>
        </w:tc>
        <w:tc>
          <w:tcPr>
            <w:tcW w:w="3120" w:type="dxa"/>
            <w:tcBorders>
              <w:top w:val="single" w:sz="12" w:space="0" w:color="FFFFFF"/>
              <w:left w:val="single" w:sz="12" w:space="0" w:color="FFFFFF"/>
              <w:bottom w:val="single" w:sz="12" w:space="0" w:color="FFFFFF"/>
              <w:right w:val="single" w:sz="12" w:space="0" w:color="FFFFFF"/>
            </w:tcBorders>
            <w:shd w:val="clear" w:color="auto" w:fill="EFF6E5"/>
            <w:tcMar>
              <w:top w:w="180" w:type="dxa"/>
              <w:left w:w="120" w:type="dxa"/>
              <w:bottom w:w="180" w:type="dxa"/>
              <w:right w:w="120" w:type="dxa"/>
            </w:tcMar>
            <w:vAlign w:val="center"/>
          </w:tcPr>
          <w:p w14:paraId="354BE080" w14:textId="77777777" w:rsidR="00421FEF" w:rsidRDefault="006976E9">
            <w:pPr>
              <w:spacing w:after="70"/>
              <w:jc w:val="center"/>
            </w:pPr>
            <w:r>
              <w:rPr>
                <w:noProof/>
              </w:rPr>
              <w:drawing>
                <wp:inline distT="0" distB="0" distL="0" distR="0" wp14:anchorId="354BE14A" wp14:editId="354BE14B">
                  <wp:extent cx="628650" cy="628650"/>
                  <wp:effectExtent l="0" t="0" r="0" b="0"/>
                  <wp:docPr id="301939156" name="icon_earth.png" descr="icon_earth.png" title="icon_eart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0"/>
                          <a:srcRect/>
                          <a:stretch>
                            <a:fillRect/>
                          </a:stretch>
                        </pic:blipFill>
                        <pic:spPr bwMode="auto">
                          <a:xfrm>
                            <a:off x="0" y="0"/>
                            <a:ext cx="628650" cy="628650"/>
                          </a:xfrm>
                          <a:prstGeom prst="rect">
                            <a:avLst/>
                          </a:prstGeom>
                        </pic:spPr>
                      </pic:pic>
                    </a:graphicData>
                  </a:graphic>
                </wp:inline>
              </w:drawing>
            </w:r>
          </w:p>
          <w:p w14:paraId="354BE081" w14:textId="0E582B71" w:rsidR="00421FEF" w:rsidRDefault="000C4D9B">
            <w:pPr>
              <w:jc w:val="center"/>
            </w:pPr>
            <w:r>
              <w:rPr>
                <w:rFonts w:ascii="Georgia" w:eastAsia="Georgia" w:hAnsi="Georgia" w:cs="Georgia"/>
                <w:b/>
                <w:bCs/>
                <w:color w:val="1B5E20"/>
              </w:rPr>
              <w:t>Love our Earth</w:t>
            </w:r>
          </w:p>
        </w:tc>
        <w:tc>
          <w:tcPr>
            <w:tcW w:w="3120" w:type="dxa"/>
            <w:tcBorders>
              <w:top w:val="single" w:sz="12" w:space="0" w:color="FFFFFF"/>
              <w:left w:val="single" w:sz="12" w:space="0" w:color="FFFFFF"/>
              <w:bottom w:val="single" w:sz="12" w:space="0" w:color="FFFFFF"/>
              <w:right w:val="single" w:sz="12" w:space="0" w:color="FFFFFF"/>
            </w:tcBorders>
            <w:shd w:val="clear" w:color="auto" w:fill="EFF6E5"/>
            <w:tcMar>
              <w:top w:w="180" w:type="dxa"/>
              <w:left w:w="120" w:type="dxa"/>
              <w:bottom w:w="180" w:type="dxa"/>
              <w:right w:w="120" w:type="dxa"/>
            </w:tcMar>
            <w:vAlign w:val="center"/>
          </w:tcPr>
          <w:p w14:paraId="354BE082" w14:textId="77777777" w:rsidR="00421FEF" w:rsidRDefault="006976E9">
            <w:pPr>
              <w:spacing w:after="70"/>
              <w:jc w:val="center"/>
            </w:pPr>
            <w:r>
              <w:rPr>
                <w:noProof/>
              </w:rPr>
              <w:drawing>
                <wp:inline distT="0" distB="0" distL="0" distR="0" wp14:anchorId="354BE14C" wp14:editId="354BE14D">
                  <wp:extent cx="628650" cy="628650"/>
                  <wp:effectExtent l="0" t="0" r="0" b="0"/>
                  <wp:docPr id="257416851" name="icon_animals.png" descr="icon_animals.png" title="icon_animal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1"/>
                          <a:srcRect/>
                          <a:stretch>
                            <a:fillRect/>
                          </a:stretch>
                        </pic:blipFill>
                        <pic:spPr bwMode="auto">
                          <a:xfrm>
                            <a:off x="0" y="0"/>
                            <a:ext cx="628650" cy="628650"/>
                          </a:xfrm>
                          <a:prstGeom prst="rect">
                            <a:avLst/>
                          </a:prstGeom>
                        </pic:spPr>
                      </pic:pic>
                    </a:graphicData>
                  </a:graphic>
                </wp:inline>
              </w:drawing>
            </w:r>
          </w:p>
          <w:p w14:paraId="354BE083" w14:textId="77777777" w:rsidR="00421FEF" w:rsidRDefault="006976E9">
            <w:pPr>
              <w:jc w:val="center"/>
            </w:pPr>
            <w:r>
              <w:rPr>
                <w:rFonts w:ascii="Georgia" w:eastAsia="Georgia" w:hAnsi="Georgia" w:cs="Georgia"/>
                <w:b/>
                <w:bCs/>
                <w:color w:val="1B5E20"/>
              </w:rPr>
              <w:t>Love Animals</w:t>
            </w:r>
          </w:p>
        </w:tc>
      </w:tr>
    </w:tbl>
    <w:p w14:paraId="354BE085" w14:textId="77777777" w:rsidR="00421FEF" w:rsidRDefault="00421FEF">
      <w:pPr>
        <w:pageBreakBefore/>
        <w:spacing w:after="60"/>
      </w:pPr>
    </w:p>
    <w:tbl>
      <w:tblPr>
        <w:tblW w:w="9360"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120"/>
        <w:gridCol w:w="8240"/>
      </w:tblGrid>
      <w:tr w:rsidR="00421FEF" w14:paraId="354BE088" w14:textId="77777777">
        <w:tc>
          <w:tcPr>
            <w:tcW w:w="1120" w:type="dxa"/>
            <w:tcBorders>
              <w:top w:val="none" w:sz="0" w:space="0" w:color="FFFFFF"/>
              <w:left w:val="none" w:sz="0" w:space="0" w:color="FFFFFF"/>
              <w:bottom w:val="none" w:sz="0" w:space="0" w:color="FFFFFF"/>
              <w:right w:val="none" w:sz="0" w:space="0" w:color="FFFFFF"/>
            </w:tcBorders>
            <w:shd w:val="clear" w:color="auto" w:fill="3F8F45"/>
            <w:tcMar>
              <w:top w:w="90" w:type="dxa"/>
              <w:left w:w="150" w:type="dxa"/>
              <w:bottom w:w="90" w:type="dxa"/>
              <w:right w:w="40" w:type="dxa"/>
            </w:tcMar>
            <w:vAlign w:val="center"/>
          </w:tcPr>
          <w:p w14:paraId="354BE086" w14:textId="77777777" w:rsidR="00421FEF" w:rsidRDefault="006976E9">
            <w:pPr>
              <w:jc w:val="center"/>
            </w:pPr>
            <w:r>
              <w:rPr>
                <w:noProof/>
              </w:rPr>
              <w:drawing>
                <wp:inline distT="0" distB="0" distL="0" distR="0" wp14:anchorId="354BE14E" wp14:editId="354BE14F">
                  <wp:extent cx="419100" cy="419100"/>
                  <wp:effectExtent l="0" t="0" r="0" b="0"/>
                  <wp:docPr id="1954247774" name="icon_health.png" descr="icon_health.png" title="icon_healt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9"/>
                          <a:srcRect/>
                          <a:stretch>
                            <a:fillRect/>
                          </a:stretch>
                        </pic:blipFill>
                        <pic:spPr bwMode="auto">
                          <a:xfrm>
                            <a:off x="0" y="0"/>
                            <a:ext cx="419100" cy="419100"/>
                          </a:xfrm>
                          <a:prstGeom prst="rect">
                            <a:avLst/>
                          </a:prstGeom>
                        </pic:spPr>
                      </pic:pic>
                    </a:graphicData>
                  </a:graphic>
                </wp:inline>
              </w:drawing>
            </w:r>
          </w:p>
        </w:tc>
        <w:tc>
          <w:tcPr>
            <w:tcW w:w="8240" w:type="dxa"/>
            <w:tcBorders>
              <w:top w:val="none" w:sz="0" w:space="0" w:color="FFFFFF"/>
              <w:left w:val="none" w:sz="0" w:space="0" w:color="FFFFFF"/>
              <w:bottom w:val="none" w:sz="0" w:space="0" w:color="FFFFFF"/>
              <w:right w:val="none" w:sz="0" w:space="0" w:color="FFFFFF"/>
            </w:tcBorders>
            <w:shd w:val="clear" w:color="auto" w:fill="3F8F45"/>
            <w:tcMar>
              <w:top w:w="90" w:type="dxa"/>
              <w:left w:w="60" w:type="dxa"/>
              <w:bottom w:w="90" w:type="dxa"/>
              <w:right w:w="120" w:type="dxa"/>
            </w:tcMar>
            <w:vAlign w:val="center"/>
          </w:tcPr>
          <w:p w14:paraId="354BE087" w14:textId="77777777" w:rsidR="00421FEF" w:rsidRDefault="006976E9">
            <w:r>
              <w:rPr>
                <w:rFonts w:ascii="Georgia" w:eastAsia="Georgia" w:hAnsi="Georgia" w:cs="Georgia"/>
                <w:b/>
                <w:bCs/>
                <w:color w:val="FFFFFF"/>
                <w:sz w:val="30"/>
                <w:szCs w:val="30"/>
              </w:rPr>
              <w:t xml:space="preserve">Reason </w:t>
            </w:r>
            <w:proofErr w:type="gramStart"/>
            <w:r>
              <w:rPr>
                <w:rFonts w:ascii="Georgia" w:eastAsia="Georgia" w:hAnsi="Georgia" w:cs="Georgia"/>
                <w:b/>
                <w:bCs/>
                <w:color w:val="FFFFFF"/>
                <w:sz w:val="30"/>
                <w:szCs w:val="30"/>
              </w:rPr>
              <w:t>1  —</w:t>
            </w:r>
            <w:proofErr w:type="gramEnd"/>
            <w:r>
              <w:rPr>
                <w:rFonts w:ascii="Georgia" w:eastAsia="Georgia" w:hAnsi="Georgia" w:cs="Georgia"/>
                <w:b/>
                <w:bCs/>
                <w:color w:val="FFFFFF"/>
                <w:sz w:val="30"/>
                <w:szCs w:val="30"/>
              </w:rPr>
              <w:t xml:space="preserve">  Love Your Health</w:t>
            </w:r>
          </w:p>
        </w:tc>
      </w:tr>
    </w:tbl>
    <w:p w14:paraId="354BE089" w14:textId="77777777" w:rsidR="00421FEF" w:rsidRDefault="006976E9">
      <w:pPr>
        <w:spacing w:before="260" w:after="80"/>
      </w:pPr>
      <w:r>
        <w:rPr>
          <w:rFonts w:ascii="Georgia" w:eastAsia="Georgia" w:hAnsi="Georgia" w:cs="Georgia"/>
          <w:b/>
          <w:bCs/>
          <w:color w:val="1B5E20"/>
          <w:sz w:val="27"/>
          <w:szCs w:val="27"/>
        </w:rPr>
        <w:t>Your Body Was Built to Thrive on Plants</w:t>
      </w:r>
    </w:p>
    <w:p w14:paraId="354BE08A" w14:textId="77777777" w:rsidR="00421FEF" w:rsidRDefault="006976E9">
      <w:pPr>
        <w:spacing w:after="160" w:line="276" w:lineRule="auto"/>
      </w:pPr>
      <w:r>
        <w:t xml:space="preserve">A well-planned vegan diet is one of the most powerful tools we have for staying healthy over the long term. Two of the world's leading nutrition bodies agree on this: the British Dietetic Association (BDA) and the American Academy of Nutrition and Dietetics (AND) both recognise well-planned vegan diets as nutritionally complete and </w:t>
      </w:r>
      <w:proofErr w:type="gramStart"/>
      <w:r>
        <w:t>health-supporting</w:t>
      </w:r>
      <w:proofErr w:type="gramEnd"/>
      <w:r>
        <w:t>. The AND's updated 2025 position endorses vegetarian and vegan eating for adults, while the BDA confirms these diets are suitable at every life stage, including pregnancy and childhood.</w:t>
      </w:r>
      <w:hyperlink w:anchor="ref1" w:history="1">
        <w:r>
          <w:rPr>
            <w:b/>
            <w:bCs/>
            <w:color w:val="2E7D32"/>
            <w:vertAlign w:val="superscript"/>
          </w:rPr>
          <w:t>1</w:t>
        </w:r>
      </w:hyperlink>
    </w:p>
    <w:p w14:paraId="354BE08B" w14:textId="77777777" w:rsidR="00421FEF" w:rsidRDefault="006976E9">
      <w:pPr>
        <w:spacing w:after="160" w:line="276" w:lineRule="auto"/>
      </w:pPr>
      <w:r>
        <w:t>The evidence for disease prevention is strong. A major 2023 review that pooled 76 studies and more than 2 million people found that the more closely people followed a plant-based diet, the lower their risk of type 2 diabetes, heart disease, cancer, and early death.</w:t>
      </w:r>
      <w:hyperlink w:anchor="ref2" w:history="1">
        <w:r>
          <w:rPr>
            <w:b/>
            <w:bCs/>
            <w:color w:val="2E7D32"/>
            <w:vertAlign w:val="superscript"/>
          </w:rPr>
          <w:t>2</w:t>
        </w:r>
      </w:hyperlink>
      <w:r>
        <w:t xml:space="preserve"> In a separate study that followed over 100,000 Americans for 30 years, those eating a more sustainable, plant-rich diet had roughly a 25% lower risk of dying from chronic illness than those who ate fewer plants.</w:t>
      </w:r>
      <w:hyperlink w:anchor="ref3" w:history="1">
        <w:r>
          <w:rPr>
            <w:b/>
            <w:bCs/>
            <w:color w:val="2E7D32"/>
            <w:vertAlign w:val="superscript"/>
          </w:rPr>
          <w:t>3</w:t>
        </w:r>
      </w:hyperlink>
    </w:p>
    <w:p w14:paraId="354BE08C" w14:textId="77777777" w:rsidR="00421FEF" w:rsidRDefault="006976E9">
      <w:pPr>
        <w:spacing w:before="260" w:after="80"/>
      </w:pPr>
      <w:r>
        <w:rPr>
          <w:rFonts w:ascii="Georgia" w:eastAsia="Georgia" w:hAnsi="Georgia" w:cs="Georgia"/>
          <w:b/>
          <w:bCs/>
          <w:color w:val="1B5E20"/>
          <w:sz w:val="27"/>
          <w:szCs w:val="27"/>
        </w:rPr>
        <w:t>Heart Disease and Blood Pressure</w:t>
      </w:r>
    </w:p>
    <w:p w14:paraId="354BE08D" w14:textId="77777777" w:rsidR="00421FEF" w:rsidRDefault="006976E9">
      <w:pPr>
        <w:spacing w:after="160" w:line="276" w:lineRule="auto"/>
      </w:pPr>
      <w:r>
        <w:t xml:space="preserve">Plant-based eating is especially good for the heart. A review in the journal </w:t>
      </w:r>
      <w:r>
        <w:rPr>
          <w:i/>
          <w:iCs/>
        </w:rPr>
        <w:t>Nutrients</w:t>
      </w:r>
      <w:r>
        <w:t xml:space="preserve"> found that vegetarians have a 25% lower risk of dying from ischaemic heart disease — the kind caused by blocked arteries — than non-vegetarians.</w:t>
      </w:r>
      <w:hyperlink w:anchor="ref4" w:history="1">
        <w:r>
          <w:rPr>
            <w:b/>
            <w:bCs/>
            <w:color w:val="2E7D32"/>
            <w:vertAlign w:val="superscript"/>
          </w:rPr>
          <w:t>4</w:t>
        </w:r>
      </w:hyperlink>
      <w:r>
        <w:t xml:space="preserve"> It also helps keep blood pressure down: a study of more than 4,100 people in the </w:t>
      </w:r>
      <w:r>
        <w:rPr>
          <w:i/>
          <w:iCs/>
        </w:rPr>
        <w:t>Journal of Hypertension</w:t>
      </w:r>
      <w:r>
        <w:t xml:space="preserve"> found vegetarians had a 34% lower risk of high blood pressure than meat-eaters, even after accounting for age, sex, body weight, and factors such as insulin resistance.</w:t>
      </w:r>
      <w:hyperlink w:anchor="ref5" w:history="1">
        <w:r>
          <w:rPr>
            <w:b/>
            <w:bCs/>
            <w:color w:val="2E7D32"/>
            <w:vertAlign w:val="superscript"/>
          </w:rPr>
          <w:t>5</w:t>
        </w:r>
      </w:hyperlink>
      <w:r>
        <w:t xml:space="preserve"> Since high blood pressure is one of the biggest risk factors for stroke, this is a compelling reason on its own to eat more plants.</w:t>
      </w:r>
    </w:p>
    <w:p w14:paraId="354BE08E" w14:textId="77777777" w:rsidR="00421FEF" w:rsidRDefault="006976E9">
      <w:pPr>
        <w:spacing w:before="260" w:after="80"/>
      </w:pPr>
      <w:r>
        <w:rPr>
          <w:rFonts w:ascii="Georgia" w:eastAsia="Georgia" w:hAnsi="Georgia" w:cs="Georgia"/>
          <w:b/>
          <w:bCs/>
          <w:color w:val="1B5E20"/>
          <w:sz w:val="27"/>
          <w:szCs w:val="27"/>
        </w:rPr>
        <w:t>Cancer Protection</w:t>
      </w:r>
    </w:p>
    <w:p w14:paraId="354BE090" w14:textId="48E45FC8" w:rsidR="00421FEF" w:rsidRDefault="006976E9">
      <w:pPr>
        <w:spacing w:after="160" w:line="276" w:lineRule="auto"/>
      </w:pPr>
      <w:r>
        <w:t>The largest study ever conducted on meat-free diets and cancer — led by University of Oxford researchers and drawing on data from 1.8 million people across three continents — found that vegetarians had significantly lower odds of several cancers: 21% lower for pancreatic cancer, 12% lower for prostate, 9% lower for breast, 28% lower for kidney, and 31% lower for multiple myeloma, compared with regular meat-eaters.</w:t>
      </w:r>
      <w:hyperlink w:anchor="ref6" w:history="1">
        <w:r>
          <w:rPr>
            <w:b/>
            <w:bCs/>
            <w:color w:val="2E7D32"/>
            <w:vertAlign w:val="superscript"/>
          </w:rPr>
          <w:t>6</w:t>
        </w:r>
      </w:hyperlink>
      <w:hyperlink w:anchor="ref6" w:history="1">
        <w:r>
          <w:rPr>
            <w:b/>
            <w:bCs/>
            <w:color w:val="2E7D32"/>
            <w:vertAlign w:val="superscript"/>
          </w:rPr>
          <w:t>,</w:t>
        </w:r>
      </w:hyperlink>
      <w:hyperlink w:anchor="ref7" w:history="1">
        <w:r>
          <w:rPr>
            <w:b/>
            <w:bCs/>
            <w:color w:val="2E7D32"/>
            <w:vertAlign w:val="superscript"/>
          </w:rPr>
          <w:t>7</w:t>
        </w:r>
      </w:hyperlink>
      <w:r>
        <w:t xml:space="preserve"> A separate review found that, overall, a vegan diet is linked to a </w:t>
      </w:r>
      <w:r w:rsidR="00B51691">
        <w:t>7</w:t>
      </w:r>
      <w:r>
        <w:t>% lower rate of total cancer.</w:t>
      </w:r>
      <w:hyperlink w:anchor="ref8" w:history="1">
        <w:r>
          <w:rPr>
            <w:b/>
            <w:bCs/>
            <w:color w:val="2E7D32"/>
            <w:vertAlign w:val="superscript"/>
          </w:rPr>
          <w:t>8</w:t>
        </w:r>
      </w:hyperlink>
    </w:p>
    <w:p w14:paraId="354BE091" w14:textId="5D82C0C0" w:rsidR="00421FEF" w:rsidRDefault="006976E9">
      <w:pPr>
        <w:spacing w:after="160" w:line="276" w:lineRule="auto"/>
      </w:pPr>
      <w:r>
        <w:t>On the meat side of the equation, the World Health Organization's cancer agency (the IARC) classifies processed meat as a Group 1 carcinogen — the same category as tobacco and asbestos. This grouping is based on a review of thousands of studies and reflects how certain scientists are that processed meat causes cancer.</w:t>
      </w:r>
      <w:hyperlink w:anchor="ref9" w:history="1">
        <w:r>
          <w:rPr>
            <w:b/>
            <w:bCs/>
            <w:color w:val="2E7D32"/>
            <w:vertAlign w:val="superscript"/>
          </w:rPr>
          <w:t>9</w:t>
        </w:r>
      </w:hyperlink>
    </w:p>
    <w:p w14:paraId="354BE092" w14:textId="77777777" w:rsidR="00421FEF" w:rsidRDefault="006976E9">
      <w:pPr>
        <w:spacing w:before="140" w:after="200"/>
        <w:jc w:val="center"/>
      </w:pPr>
      <w:r>
        <w:rPr>
          <w:noProof/>
        </w:rPr>
        <w:lastRenderedPageBreak/>
        <w:drawing>
          <wp:inline distT="0" distB="0" distL="0" distR="0" wp14:anchorId="354BE150" wp14:editId="354BE151">
            <wp:extent cx="5715000" cy="4352925"/>
            <wp:effectExtent l="0" t="0" r="0" b="0"/>
            <wp:docPr id="433003343" name="chart_cancer.png" descr="chart_cancer.png" title="chart_canc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2"/>
                    <a:srcRect/>
                    <a:stretch>
                      <a:fillRect/>
                    </a:stretch>
                  </pic:blipFill>
                  <pic:spPr bwMode="auto">
                    <a:xfrm>
                      <a:off x="0" y="0"/>
                      <a:ext cx="5715000" cy="4352925"/>
                    </a:xfrm>
                    <a:prstGeom prst="rect">
                      <a:avLst/>
                    </a:prstGeom>
                  </pic:spPr>
                </pic:pic>
              </a:graphicData>
            </a:graphic>
          </wp:inline>
        </w:drawing>
      </w:r>
    </w:p>
    <w:p w14:paraId="354BE093" w14:textId="77777777" w:rsidR="00421FEF" w:rsidRDefault="006976E9">
      <w:pPr>
        <w:spacing w:before="260" w:after="80"/>
      </w:pPr>
      <w:r>
        <w:rPr>
          <w:rFonts w:ascii="Georgia" w:eastAsia="Georgia" w:hAnsi="Georgia" w:cs="Georgia"/>
          <w:b/>
          <w:bCs/>
          <w:color w:val="1B5E20"/>
          <w:sz w:val="27"/>
          <w:szCs w:val="27"/>
        </w:rPr>
        <w:t>Diabetes</w:t>
      </w:r>
    </w:p>
    <w:p w14:paraId="354BE094" w14:textId="77777777" w:rsidR="00421FEF" w:rsidRDefault="006976E9">
      <w:pPr>
        <w:spacing w:after="160" w:line="276" w:lineRule="auto"/>
      </w:pPr>
      <w:r>
        <w:t>Plant-based diets are also closely tied to lower diabetes risk. In the EPIC-Oxford study, vegans had a 47% lower raw risk of type 2 diabetes than meat-eaters. Much of that advantage shrank once researchers adjusted for body weight — which suggests that staying at a healthy weight, something a plant-based diet makes easier, accounts for a large part of the benefit.</w:t>
      </w:r>
      <w:hyperlink w:anchor="ref10" w:history="1">
        <w:r>
          <w:rPr>
            <w:b/>
            <w:bCs/>
            <w:color w:val="2E7D32"/>
            <w:vertAlign w:val="superscript"/>
          </w:rPr>
          <w:t>10</w:t>
        </w:r>
      </w:hyperlink>
      <w:r>
        <w:t xml:space="preserve"> Beyond prevention, plant-based diets have been shown to help manage type 2 diabetes and heart disease, and in some clinical settings even to reverse them.</w:t>
      </w:r>
      <w:hyperlink w:anchor="ref11" w:history="1">
        <w:r>
          <w:rPr>
            <w:b/>
            <w:bCs/>
            <w:color w:val="2E7D32"/>
            <w:vertAlign w:val="superscript"/>
          </w:rPr>
          <w:t>11</w:t>
        </w:r>
      </w:hyperlink>
    </w:p>
    <w:p w14:paraId="354BE095" w14:textId="77777777" w:rsidR="00421FEF" w:rsidRDefault="006976E9">
      <w:pPr>
        <w:spacing w:before="260" w:after="80"/>
      </w:pPr>
      <w:r>
        <w:rPr>
          <w:rFonts w:ascii="Georgia" w:eastAsia="Georgia" w:hAnsi="Georgia" w:cs="Georgia"/>
          <w:b/>
          <w:bCs/>
          <w:color w:val="1B5E20"/>
          <w:sz w:val="27"/>
          <w:szCs w:val="27"/>
        </w:rPr>
        <w:t>Weight, Energy, and Everyday Wellbeing</w:t>
      </w:r>
    </w:p>
    <w:p w14:paraId="354BE096" w14:textId="77777777" w:rsidR="00421FEF" w:rsidRDefault="006976E9">
      <w:pPr>
        <w:spacing w:after="160" w:line="276" w:lineRule="auto"/>
      </w:pPr>
      <w:r>
        <w:t>The benefits aren't only long-term — many people feel the difference quickly. In a 2021 survey by The Vegan Society, people who had gone vegan reported real improvements: 56% said their digestion got better, 55% slept better, 53% had more energy, and 52% could walk or run further.</w:t>
      </w:r>
      <w:hyperlink w:anchor="ref12" w:history="1">
        <w:r>
          <w:rPr>
            <w:b/>
            <w:bCs/>
            <w:color w:val="2E7D32"/>
            <w:vertAlign w:val="superscript"/>
          </w:rPr>
          <w:t>12</w:t>
        </w:r>
      </w:hyperlink>
      <w:r>
        <w:t xml:space="preserve"> A 2025 review of long-term studies backs this up, linking healthy plant-based eating to lower overall and heart-related death rates, and to better health markers — including blood pressure and body weight — than meat-based diets.</w:t>
      </w:r>
      <w:hyperlink w:anchor="ref13" w:history="1">
        <w:r>
          <w:rPr>
            <w:b/>
            <w:bCs/>
            <w:color w:val="2E7D32"/>
            <w:vertAlign w:val="superscript"/>
          </w:rPr>
          <w:t>13</w:t>
        </w:r>
      </w:hyperlink>
    </w:p>
    <w:p w14:paraId="354BE097" w14:textId="77777777" w:rsidR="00421FEF" w:rsidRDefault="006976E9">
      <w:pPr>
        <w:spacing w:before="140" w:after="200"/>
        <w:jc w:val="center"/>
      </w:pPr>
      <w:r>
        <w:rPr>
          <w:noProof/>
        </w:rPr>
        <w:lastRenderedPageBreak/>
        <w:drawing>
          <wp:inline distT="0" distB="0" distL="0" distR="0" wp14:anchorId="354BE152" wp14:editId="354BE153">
            <wp:extent cx="5715000" cy="3629025"/>
            <wp:effectExtent l="0" t="0" r="0" b="0"/>
            <wp:docPr id="3814326" name="chart_wellbeing.png" descr="chart_wellbeing.png" title="chart_wellbei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3"/>
                    <a:srcRect/>
                    <a:stretch>
                      <a:fillRect/>
                    </a:stretch>
                  </pic:blipFill>
                  <pic:spPr bwMode="auto">
                    <a:xfrm>
                      <a:off x="0" y="0"/>
                      <a:ext cx="5715000" cy="3629025"/>
                    </a:xfrm>
                    <a:prstGeom prst="rect">
                      <a:avLst/>
                    </a:prstGeom>
                  </pic:spPr>
                </pic:pic>
              </a:graphicData>
            </a:graphic>
          </wp:inline>
        </w:drawing>
      </w:r>
    </w:p>
    <w:p w14:paraId="354BE098" w14:textId="77777777" w:rsidR="00421FEF" w:rsidRDefault="006976E9">
      <w:pPr>
        <w:spacing w:before="260" w:after="80"/>
      </w:pPr>
      <w:r>
        <w:rPr>
          <w:rFonts w:ascii="Georgia" w:eastAsia="Georgia" w:hAnsi="Georgia" w:cs="Georgia"/>
          <w:b/>
          <w:bCs/>
          <w:color w:val="1B5E20"/>
          <w:sz w:val="27"/>
          <w:szCs w:val="27"/>
        </w:rPr>
        <w:t>A Healthier Population, a Healthier Budget</w:t>
      </w:r>
    </w:p>
    <w:p w14:paraId="354BE099" w14:textId="77777777" w:rsidR="00421FEF" w:rsidRDefault="006976E9">
      <w:pPr>
        <w:spacing w:after="160" w:line="276" w:lineRule="auto"/>
      </w:pPr>
      <w:r>
        <w:t>The benefits scale up dramatically across a whole population. Analysis by the UK Office of Health Economics, commissioned by The Vegan Society, estimated that if everyone in England switched to a plant-based diet, the National Health Service could save around £6.7 billion a year, prevent 2.1 million cases of disease, and add more than 170,000 years of healthy life.</w:t>
      </w:r>
      <w:hyperlink w:anchor="ref14" w:history="1">
        <w:r>
          <w:rPr>
            <w:b/>
            <w:bCs/>
            <w:color w:val="2E7D32"/>
            <w:vertAlign w:val="superscript"/>
          </w:rPr>
          <w:t>14</w:t>
        </w:r>
      </w:hyperlink>
    </w:p>
    <w:p w14:paraId="354BE09A" w14:textId="77777777" w:rsidR="00421FEF" w:rsidRDefault="006976E9">
      <w:pPr>
        <w:spacing w:before="260" w:after="80"/>
      </w:pPr>
      <w:r>
        <w:rPr>
          <w:rFonts w:ascii="Georgia" w:eastAsia="Georgia" w:hAnsi="Georgia" w:cs="Georgia"/>
          <w:b/>
          <w:bCs/>
          <w:color w:val="1B5E20"/>
          <w:sz w:val="27"/>
          <w:szCs w:val="27"/>
        </w:rPr>
        <w:t>What's Added to the Animals We Eat: Growth Hormones and Antibiotic Resistance</w:t>
      </w:r>
    </w:p>
    <w:p w14:paraId="354BE09B" w14:textId="77777777" w:rsidR="00421FEF" w:rsidRDefault="006976E9">
      <w:pPr>
        <w:spacing w:after="160" w:line="276" w:lineRule="auto"/>
      </w:pPr>
      <w:r>
        <w:t xml:space="preserve">Modern intensive farming leans heavily on chemicals to make animals grow faster and bigger, and that raises real concerns for human health. In Australia, hormonal growth </w:t>
      </w:r>
      <w:proofErr w:type="spellStart"/>
      <w:r>
        <w:t>promotants</w:t>
      </w:r>
      <w:proofErr w:type="spellEnd"/>
      <w:r>
        <w:t xml:space="preserve"> (HGPs) are legal and widely used to help cattle gain weight more efficiently. These are small implants placed under the skin of the animal's ear that slowly release natural and synthetic hormones — including oestrogen-like, testosterone-like, and progesterone-like compounds such as oestradiol and trenbolone acetate — over a period of 100 to 200 days.</w:t>
      </w:r>
      <w:hyperlink w:anchor="ref15" w:history="1">
        <w:r>
          <w:rPr>
            <w:b/>
            <w:bCs/>
            <w:color w:val="2E7D32"/>
            <w:vertAlign w:val="superscript"/>
          </w:rPr>
          <w:t>15</w:t>
        </w:r>
      </w:hyperlink>
    </w:p>
    <w:p w14:paraId="354BE09C" w14:textId="77777777" w:rsidR="00421FEF" w:rsidRDefault="006976E9">
      <w:pPr>
        <w:spacing w:after="160" w:line="276" w:lineRule="auto"/>
      </w:pPr>
      <w:r>
        <w:t>Antibiotics are another concern. Routinely giving antibiotics to farm animals, both to treat and to prevent illness, is a well-documented driver of antimicrobial resistance (AMR).</w:t>
      </w:r>
      <w:hyperlink w:anchor="ref16" w:history="1">
        <w:r>
          <w:rPr>
            <w:b/>
            <w:bCs/>
            <w:color w:val="2E7D32"/>
            <w:vertAlign w:val="superscript"/>
          </w:rPr>
          <w:t>16</w:t>
        </w:r>
      </w:hyperlink>
      <w:r>
        <w:t xml:space="preserve"> AMR happens when bacteria evolve to survive the drugs designed to kill them, creating dangerous “superbugs.”</w:t>
      </w:r>
      <w:hyperlink w:anchor="ref17" w:history="1">
        <w:r>
          <w:rPr>
            <w:b/>
            <w:bCs/>
            <w:color w:val="2E7D32"/>
            <w:vertAlign w:val="superscript"/>
          </w:rPr>
          <w:t>17</w:t>
        </w:r>
      </w:hyperlink>
      <w:r>
        <w:t xml:space="preserve"> These resistant bacteria can reach people in several ways: through direct contact with animals, through contaminated manure, through water and soil, or through eating undercooked meat.</w:t>
      </w:r>
      <w:hyperlink w:anchor="ref18" w:history="1">
        <w:r>
          <w:rPr>
            <w:b/>
            <w:bCs/>
            <w:color w:val="2E7D32"/>
            <w:vertAlign w:val="superscript"/>
          </w:rPr>
          <w:t>18</w:t>
        </w:r>
      </w:hyperlink>
    </w:p>
    <w:p w14:paraId="5CDD5051" w14:textId="77777777" w:rsidR="000E1F26" w:rsidRDefault="000E1F26">
      <w:pPr>
        <w:spacing w:after="160" w:line="276" w:lineRule="auto"/>
      </w:pPr>
    </w:p>
    <w:p w14:paraId="354BE09D" w14:textId="77777777" w:rsidR="00421FEF" w:rsidRDefault="006976E9">
      <w:pPr>
        <w:spacing w:before="260" w:after="80"/>
      </w:pPr>
      <w:r>
        <w:rPr>
          <w:rFonts w:ascii="Georgia" w:eastAsia="Georgia" w:hAnsi="Georgia" w:cs="Georgia"/>
          <w:b/>
          <w:bCs/>
          <w:color w:val="1B5E20"/>
          <w:sz w:val="27"/>
          <w:szCs w:val="27"/>
        </w:rPr>
        <w:lastRenderedPageBreak/>
        <w:t>How Stress Before Slaughter Affects Meat — and You</w:t>
      </w:r>
    </w:p>
    <w:p w14:paraId="354BE09E" w14:textId="77777777" w:rsidR="00421FEF" w:rsidRDefault="006976E9">
      <w:pPr>
        <w:spacing w:after="160" w:line="276" w:lineRule="auto"/>
      </w:pPr>
      <w:r>
        <w:t>In their final hours, farm animals face a barrage of stress — transport, handling, strange surroundings, and extremes of heat or cold — and their bodies respond with a cascade of chemical changes.</w:t>
      </w:r>
      <w:hyperlink w:anchor="ref19" w:history="1">
        <w:r>
          <w:rPr>
            <w:b/>
            <w:bCs/>
            <w:color w:val="2E7D32"/>
            <w:vertAlign w:val="superscript"/>
          </w:rPr>
          <w:t>19</w:t>
        </w:r>
      </w:hyperlink>
      <w:r>
        <w:t xml:space="preserve"> The animal's stress-response systems pump large amounts of stress hormones, including cortisol and the adrenaline family (adrenaline and noradrenaline), into the bloodstream and muscle.</w:t>
      </w:r>
      <w:hyperlink w:anchor="ref20" w:history="1">
        <w:r>
          <w:rPr>
            <w:b/>
            <w:bCs/>
            <w:color w:val="2E7D32"/>
            <w:vertAlign w:val="superscript"/>
          </w:rPr>
          <w:t>20</w:t>
        </w:r>
      </w:hyperlink>
      <w:r>
        <w:t xml:space="preserve"> One study of Mexican slaughterhouses found that nearly 70% of the cattle examined had severely high blood sugar and sharply raised cortisol at the moment of slaughter.</w:t>
      </w:r>
      <w:hyperlink w:anchor="ref21" w:history="1">
        <w:r>
          <w:rPr>
            <w:b/>
            <w:bCs/>
            <w:color w:val="2E7D32"/>
            <w:vertAlign w:val="superscript"/>
          </w:rPr>
          <w:t>21</w:t>
        </w:r>
      </w:hyperlink>
    </w:p>
    <w:p w14:paraId="354BE09F" w14:textId="77777777" w:rsidR="00421FEF" w:rsidRDefault="006976E9">
      <w:pPr>
        <w:spacing w:after="160" w:line="276" w:lineRule="auto"/>
      </w:pPr>
      <w:r>
        <w:t>This stress rapidly burns through the muscle's glycogen (stored energy) reserves. That matters because, after death, glycogen normally turns the muscle slightly acidic — a process that tenderises the meat, slows bacterial growth, and develops flavour.</w:t>
      </w:r>
      <w:hyperlink w:anchor="ref22" w:history="1">
        <w:r>
          <w:rPr>
            <w:b/>
            <w:bCs/>
            <w:color w:val="2E7D32"/>
            <w:vertAlign w:val="superscript"/>
          </w:rPr>
          <w:t>22</w:t>
        </w:r>
      </w:hyperlink>
      <w:r>
        <w:t xml:space="preserve"> Without enough glycogen, the meat can turn out faulty: Dark, Firm, and Dry (DFD) beef, or Pale, Soft, and Exudative (PSE) pork, both of which spoil faster and keep for a shorter time.</w:t>
      </w:r>
      <w:hyperlink w:anchor="ref23" w:history="1">
        <w:r>
          <w:rPr>
            <w:b/>
            <w:bCs/>
            <w:color w:val="2E7D32"/>
            <w:vertAlign w:val="superscript"/>
          </w:rPr>
          <w:t>23</w:t>
        </w:r>
      </w:hyperlink>
      <w:r>
        <w:t xml:space="preserve"> And the effect may not stop at quality. Leftover stress hormones and the accelerated fat breakdown (oxidation) in such meat may, once eaten, upset the body's balance between harmful and protective molecules, potentially weakening the immune system and contributing to damage to the heart and to cells.</w:t>
      </w:r>
      <w:hyperlink w:anchor="ref24" w:history="1">
        <w:r>
          <w:rPr>
            <w:b/>
            <w:bCs/>
            <w:color w:val="2E7D32"/>
            <w:vertAlign w:val="superscript"/>
          </w:rPr>
          <w:t>24</w:t>
        </w:r>
      </w:hyperlink>
    </w:p>
    <w:p w14:paraId="354BE0A0" w14:textId="4D078F2A" w:rsidR="00421FEF" w:rsidRDefault="006976E9">
      <w:pPr>
        <w:spacing w:before="260" w:after="80"/>
      </w:pPr>
      <w:r>
        <w:rPr>
          <w:rFonts w:ascii="Georgia" w:eastAsia="Georgia" w:hAnsi="Georgia" w:cs="Georgia"/>
          <w:b/>
          <w:bCs/>
          <w:color w:val="1B5E20"/>
          <w:sz w:val="27"/>
          <w:szCs w:val="27"/>
        </w:rPr>
        <w:t>What About Protein</w:t>
      </w:r>
      <w:r w:rsidR="00590430" w:rsidRPr="00590430">
        <w:rPr>
          <w:rFonts w:ascii="Georgia" w:eastAsia="Georgia" w:hAnsi="Georgia" w:cs="Georgia"/>
          <w:b/>
          <w:bCs/>
          <w:color w:val="1B5E20"/>
          <w:sz w:val="27"/>
          <w:szCs w:val="27"/>
        </w:rPr>
        <w:t>, Iron</w:t>
      </w:r>
      <w:r>
        <w:rPr>
          <w:rFonts w:ascii="Georgia" w:eastAsia="Georgia" w:hAnsi="Georgia" w:cs="Georgia"/>
          <w:b/>
          <w:bCs/>
          <w:color w:val="1B5E20"/>
          <w:sz w:val="27"/>
          <w:szCs w:val="27"/>
        </w:rPr>
        <w:t xml:space="preserve"> and B12?</w:t>
      </w:r>
    </w:p>
    <w:p w14:paraId="354BE0A1" w14:textId="46A96350" w:rsidR="00421FEF" w:rsidRDefault="00060B8E">
      <w:pPr>
        <w:spacing w:after="160" w:line="276" w:lineRule="auto"/>
      </w:pPr>
      <w:r w:rsidRPr="00060B8E">
        <w:t xml:space="preserve">Three </w:t>
      </w:r>
      <w:r w:rsidR="006976E9">
        <w:t xml:space="preserve">of the most common worries about going vegan are easy to put to rest. </w:t>
      </w:r>
      <w:r>
        <w:br/>
      </w:r>
      <w:r w:rsidR="006976E9" w:rsidRPr="00060B8E">
        <w:rPr>
          <w:b/>
          <w:bCs/>
        </w:rPr>
        <w:t>On protein</w:t>
      </w:r>
      <w:r w:rsidR="006976E9">
        <w:t xml:space="preserve">: soy foods such as tofu and tempeh are “complete” proteins, meaning they contain all nine essential amino acids on their own. Other plant foods — beans and lentils, whole grains, nuts, and seeds — are each missing some on their </w:t>
      </w:r>
      <w:proofErr w:type="gramStart"/>
      <w:r w:rsidR="006976E9">
        <w:t>own, but</w:t>
      </w:r>
      <w:proofErr w:type="gramEnd"/>
      <w:r w:rsidR="006976E9">
        <w:t xml:space="preserve"> eaten across a varied diet they together supply everything the body needs.</w:t>
      </w:r>
      <w:hyperlink w:anchor="ref25" w:history="1">
        <w:r w:rsidR="006976E9">
          <w:rPr>
            <w:b/>
            <w:bCs/>
            <w:color w:val="2E7D32"/>
            <w:vertAlign w:val="superscript"/>
          </w:rPr>
          <w:t>25</w:t>
        </w:r>
      </w:hyperlink>
    </w:p>
    <w:p w14:paraId="354BE0A2" w14:textId="31F2A4B8" w:rsidR="00421FEF" w:rsidRDefault="00A326D4">
      <w:pPr>
        <w:spacing w:after="160" w:line="276" w:lineRule="auto"/>
      </w:pPr>
      <w:r w:rsidRPr="00A326D4">
        <w:rPr>
          <w:b/>
          <w:bCs/>
        </w:rPr>
        <w:t>On iron:</w:t>
      </w:r>
      <w:r w:rsidRPr="00A326D4">
        <w:t xml:space="preserve"> One of the most </w:t>
      </w:r>
      <w:r w:rsidR="00296443" w:rsidRPr="00296443">
        <w:t>common</w:t>
      </w:r>
      <w:r w:rsidR="00296443">
        <w:t xml:space="preserve"> </w:t>
      </w:r>
      <w:r w:rsidRPr="00A326D4">
        <w:t>misconception</w:t>
      </w:r>
      <w:r w:rsidR="00AC107D">
        <w:t>s</w:t>
      </w:r>
      <w:r w:rsidRPr="00A326D4">
        <w:t xml:space="preserve"> about going vegan is that you will end up iron-deficient — but the plant kingdom is full of iron-rich foods. Plant-based iron, known as non-haem iron, is found in a wide range of everyday foods: pulses like lentils, chickpeas and kidney beans; dark leafy greens such as spinach, kale and broccoli; tofu and tempeh; nuts and seeds including cashews, pumpkin seeds and chia seeds; dried fruits like apricots and figs; and wholegrains such as quinoa, oats and wholemeal bread. Many breakfast cereals are also fortified with iron, making it even easier to hit your daily needs. In fact, research shows that people eating a well-balanced plant-based diet are no more likely to develop iron-deficiency anaemia than those on a mixed diet. One simple tip to get the most from these foods: eat them alongside a source of vitamin C — a squeeze of lemon, a handful of cherry tomatoes, or a side of capsicum — as vitamin C significantly boosts the body's absorption of non-haem iron.</w:t>
      </w:r>
      <w:hyperlink w:anchor="ref26" w:history="1">
        <w:r w:rsidR="006976E9">
          <w:rPr>
            <w:b/>
            <w:bCs/>
            <w:color w:val="2E7D32"/>
            <w:vertAlign w:val="superscript"/>
          </w:rPr>
          <w:t>26</w:t>
        </w:r>
      </w:hyperlink>
      <w:r w:rsidR="006976E9">
        <w:t xml:space="preserve"> </w:t>
      </w:r>
      <w:r>
        <w:br/>
      </w:r>
      <w:r>
        <w:br/>
      </w:r>
      <w:r w:rsidR="009F6405" w:rsidRPr="009F6405">
        <w:rPr>
          <w:b/>
          <w:bCs/>
        </w:rPr>
        <w:t>On B12</w:t>
      </w:r>
      <w:r w:rsidR="009F6405" w:rsidRPr="009F6405">
        <w:t xml:space="preserve">: B12 occur naturally in plant foods such as mushrooms and seaweed.  And many of our daily food such as cereals, non-dairy milks, and nutritional yeast are now widely enriched with B12 and easy to work into any meal. What many people don't realise is that the form of B12 used in these fortified foods and supplements — crystalline B12 — is </w:t>
      </w:r>
      <w:proofErr w:type="gramStart"/>
      <w:r w:rsidR="009F6405" w:rsidRPr="009F6405">
        <w:t>actually better</w:t>
      </w:r>
      <w:proofErr w:type="gramEnd"/>
      <w:r w:rsidR="009F6405" w:rsidRPr="009F6405">
        <w:t xml:space="preserve"> absorbed than the protein-bound form found in meat and dairy. Because it isn't locked inside a food matrix, your body can take it up more readily.</w:t>
      </w:r>
      <w:hyperlink w:anchor="ref27" w:history="1">
        <w:r w:rsidR="006976E9">
          <w:rPr>
            <w:b/>
            <w:bCs/>
            <w:color w:val="2E7D32"/>
            <w:vertAlign w:val="superscript"/>
          </w:rPr>
          <w:t>27</w:t>
        </w:r>
      </w:hyperlink>
    </w:p>
    <w:p w14:paraId="354BE0A3" w14:textId="77777777" w:rsidR="00421FEF" w:rsidRDefault="006976E9">
      <w:pPr>
        <w:spacing w:before="260" w:after="80"/>
      </w:pPr>
      <w:r>
        <w:rPr>
          <w:rFonts w:ascii="Georgia" w:eastAsia="Georgia" w:hAnsi="Georgia" w:cs="Georgia"/>
          <w:b/>
          <w:bCs/>
          <w:color w:val="1B5E20"/>
          <w:sz w:val="27"/>
          <w:szCs w:val="27"/>
        </w:rPr>
        <w:lastRenderedPageBreak/>
        <w:t xml:space="preserve">Why Skipping Fish and Seafood Protects You </w:t>
      </w:r>
      <w:proofErr w:type="gramStart"/>
      <w:r>
        <w:rPr>
          <w:rFonts w:ascii="Georgia" w:eastAsia="Georgia" w:hAnsi="Georgia" w:cs="Georgia"/>
          <w:b/>
          <w:bCs/>
          <w:color w:val="1B5E20"/>
          <w:sz w:val="27"/>
          <w:szCs w:val="27"/>
        </w:rPr>
        <w:t>From</w:t>
      </w:r>
      <w:proofErr w:type="gramEnd"/>
      <w:r>
        <w:rPr>
          <w:rFonts w:ascii="Georgia" w:eastAsia="Georgia" w:hAnsi="Georgia" w:cs="Georgia"/>
          <w:b/>
          <w:bCs/>
          <w:color w:val="1B5E20"/>
          <w:sz w:val="27"/>
          <w:szCs w:val="27"/>
        </w:rPr>
        <w:t xml:space="preserve"> Hidden Toxins</w:t>
      </w:r>
    </w:p>
    <w:p w14:paraId="354BE0A4" w14:textId="77777777" w:rsidR="00421FEF" w:rsidRDefault="006976E9">
      <w:pPr>
        <w:spacing w:after="160" w:line="276" w:lineRule="auto"/>
      </w:pPr>
      <w:r>
        <w:t>Fish / seafood is a major route for harmful contaminants to enter the body. Choosing to skip it helps you avoid:</w:t>
      </w:r>
    </w:p>
    <w:p w14:paraId="354BE0A5" w14:textId="77777777" w:rsidR="00421FEF" w:rsidRDefault="006976E9">
      <w:pPr>
        <w:pStyle w:val="ListParagraph"/>
        <w:numPr>
          <w:ilvl w:val="0"/>
          <w:numId w:val="2"/>
        </w:numPr>
        <w:spacing w:after="150" w:line="276" w:lineRule="auto"/>
      </w:pPr>
      <w:r>
        <w:rPr>
          <w:b/>
          <w:bCs/>
        </w:rPr>
        <w:t xml:space="preserve">Mercury. </w:t>
      </w:r>
      <w:r>
        <w:t>Eating fish and seafood is one of the main ways people are exposed to mercury. Methylmercury — produced by industrial pollution and by natural processes — builds up as it moves up the food chain, reaching its highest levels in large predatory fish. For pregnant women and young children, this poses a serious risk of damage to the developing brain.</w:t>
      </w:r>
      <w:hyperlink w:anchor="ref28" w:history="1">
        <w:r>
          <w:rPr>
            <w:b/>
            <w:bCs/>
            <w:color w:val="2E7D32"/>
            <w:vertAlign w:val="superscript"/>
          </w:rPr>
          <w:t>28</w:t>
        </w:r>
      </w:hyperlink>
    </w:p>
    <w:p w14:paraId="354BE0A6" w14:textId="77777777" w:rsidR="00421FEF" w:rsidRDefault="006976E9">
      <w:pPr>
        <w:pStyle w:val="ListParagraph"/>
        <w:numPr>
          <w:ilvl w:val="0"/>
          <w:numId w:val="2"/>
        </w:numPr>
        <w:spacing w:after="150" w:line="276" w:lineRule="auto"/>
      </w:pPr>
      <w:r>
        <w:rPr>
          <w:b/>
          <w:bCs/>
        </w:rPr>
        <w:t xml:space="preserve">“Forever chemicals” (PFAS). </w:t>
      </w:r>
      <w:r>
        <w:t xml:space="preserve">PFAS build up in people who eat seafood regularly. A 2024 Dartmouth College study published in the journal </w:t>
      </w:r>
      <w:r>
        <w:rPr>
          <w:i/>
          <w:iCs/>
        </w:rPr>
        <w:t>Exposure and Health</w:t>
      </w:r>
      <w:r>
        <w:t xml:space="preserve"> found that people who eat a lot of seafood are exposed to significantly more PFAS than previously estimated.</w:t>
      </w:r>
      <w:hyperlink w:anchor="ref29" w:history="1">
        <w:r>
          <w:rPr>
            <w:b/>
            <w:bCs/>
            <w:color w:val="2E7D32"/>
            <w:vertAlign w:val="superscript"/>
          </w:rPr>
          <w:t>29</w:t>
        </w:r>
      </w:hyperlink>
    </w:p>
    <w:p w14:paraId="354BE0A7" w14:textId="77777777" w:rsidR="00421FEF" w:rsidRDefault="006976E9">
      <w:pPr>
        <w:pStyle w:val="ListParagraph"/>
        <w:numPr>
          <w:ilvl w:val="0"/>
          <w:numId w:val="2"/>
        </w:numPr>
        <w:spacing w:after="150" w:line="276" w:lineRule="auto"/>
      </w:pPr>
      <w:r>
        <w:rPr>
          <w:b/>
          <w:bCs/>
        </w:rPr>
        <w:t xml:space="preserve">Microplastics. </w:t>
      </w:r>
      <w:r>
        <w:t xml:space="preserve">Microplastics turn up in </w:t>
      </w:r>
      <w:proofErr w:type="gramStart"/>
      <w:r>
        <w:t>the vast majority of</w:t>
      </w:r>
      <w:proofErr w:type="gramEnd"/>
      <w:r>
        <w:t xml:space="preserve"> seafood on sale. A peer-reviewed 2025 study found them in 180 of 182 seafood samples taken from retail markets and fishing vessels. These tiny plastic particles are linked to inflammation, oxidative stress, and possible disruption of the body's hormones — and they pass from the fish flesh into your body when you eat it.</w:t>
      </w:r>
      <w:hyperlink w:anchor="ref30" w:history="1">
        <w:r>
          <w:rPr>
            <w:b/>
            <w:bCs/>
            <w:color w:val="2E7D32"/>
            <w:vertAlign w:val="superscript"/>
          </w:rPr>
          <w:t>30</w:t>
        </w:r>
      </w:hyperlink>
    </w:p>
    <w:p w14:paraId="354BE0A8" w14:textId="77777777" w:rsidR="00421FEF" w:rsidRDefault="006976E9">
      <w:pPr>
        <w:pStyle w:val="ListParagraph"/>
        <w:numPr>
          <w:ilvl w:val="0"/>
          <w:numId w:val="2"/>
        </w:numPr>
        <w:spacing w:after="150" w:line="276" w:lineRule="auto"/>
      </w:pPr>
      <w:r>
        <w:rPr>
          <w:b/>
          <w:bCs/>
        </w:rPr>
        <w:t xml:space="preserve">Antibiotic resistance. </w:t>
      </w:r>
      <w:r>
        <w:t>Fish farms rely heavily on antibiotics, which creates conditions for drug-resistant infections in people. Crowded aquaculture leaves fish prone to disease, and the well-documented overuse of antibiotics in fish farming feeds the global antimicrobial-resistance crisis — a threat the WHO has identified as one of the greatest risks to public health.</w:t>
      </w:r>
      <w:hyperlink w:anchor="ref31" w:history="1">
        <w:r>
          <w:rPr>
            <w:b/>
            <w:bCs/>
            <w:color w:val="2E7D32"/>
            <w:vertAlign w:val="superscript"/>
          </w:rPr>
          <w:t>31</w:t>
        </w:r>
      </w:hyperlink>
      <w:r>
        <w:rPr>
          <w:color w:val="2E7D32"/>
          <w:vertAlign w:val="superscript"/>
        </w:rPr>
        <w:t>,</w:t>
      </w:r>
      <w:hyperlink w:anchor="ref32" w:history="1">
        <w:r>
          <w:rPr>
            <w:b/>
            <w:bCs/>
            <w:color w:val="2E7D32"/>
            <w:vertAlign w:val="superscript"/>
          </w:rPr>
          <w:t>32</w:t>
        </w:r>
      </w:hyperlink>
    </w:p>
    <w:p w14:paraId="354BE0A9" w14:textId="77777777" w:rsidR="00421FEF" w:rsidRDefault="00421FEF">
      <w:pPr>
        <w:pageBreakBefore/>
        <w:spacing w:after="60"/>
      </w:pPr>
    </w:p>
    <w:tbl>
      <w:tblPr>
        <w:tblW w:w="9360"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120"/>
        <w:gridCol w:w="8240"/>
      </w:tblGrid>
      <w:tr w:rsidR="00421FEF" w14:paraId="354BE0AC" w14:textId="77777777">
        <w:tc>
          <w:tcPr>
            <w:tcW w:w="1120" w:type="dxa"/>
            <w:tcBorders>
              <w:top w:val="none" w:sz="0" w:space="0" w:color="FFFFFF"/>
              <w:left w:val="none" w:sz="0" w:space="0" w:color="FFFFFF"/>
              <w:bottom w:val="none" w:sz="0" w:space="0" w:color="FFFFFF"/>
              <w:right w:val="none" w:sz="0" w:space="0" w:color="FFFFFF"/>
            </w:tcBorders>
            <w:shd w:val="clear" w:color="auto" w:fill="3F8F45"/>
            <w:tcMar>
              <w:top w:w="90" w:type="dxa"/>
              <w:left w:w="150" w:type="dxa"/>
              <w:bottom w:w="90" w:type="dxa"/>
              <w:right w:w="40" w:type="dxa"/>
            </w:tcMar>
            <w:vAlign w:val="center"/>
          </w:tcPr>
          <w:p w14:paraId="354BE0AA" w14:textId="77777777" w:rsidR="00421FEF" w:rsidRDefault="006976E9">
            <w:pPr>
              <w:jc w:val="center"/>
            </w:pPr>
            <w:r>
              <w:rPr>
                <w:noProof/>
              </w:rPr>
              <w:drawing>
                <wp:inline distT="0" distB="0" distL="0" distR="0" wp14:anchorId="354BE154" wp14:editId="354BE155">
                  <wp:extent cx="419100" cy="419100"/>
                  <wp:effectExtent l="0" t="0" r="0" b="0"/>
                  <wp:docPr id="1802517229" name="icon_earth.png" descr="icon_earth.png" title="icon_eart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0"/>
                          <a:srcRect/>
                          <a:stretch>
                            <a:fillRect/>
                          </a:stretch>
                        </pic:blipFill>
                        <pic:spPr bwMode="auto">
                          <a:xfrm>
                            <a:off x="0" y="0"/>
                            <a:ext cx="419100" cy="419100"/>
                          </a:xfrm>
                          <a:prstGeom prst="rect">
                            <a:avLst/>
                          </a:prstGeom>
                        </pic:spPr>
                      </pic:pic>
                    </a:graphicData>
                  </a:graphic>
                </wp:inline>
              </w:drawing>
            </w:r>
          </w:p>
        </w:tc>
        <w:tc>
          <w:tcPr>
            <w:tcW w:w="8240" w:type="dxa"/>
            <w:tcBorders>
              <w:top w:val="none" w:sz="0" w:space="0" w:color="FFFFFF"/>
              <w:left w:val="none" w:sz="0" w:space="0" w:color="FFFFFF"/>
              <w:bottom w:val="none" w:sz="0" w:space="0" w:color="FFFFFF"/>
              <w:right w:val="none" w:sz="0" w:space="0" w:color="FFFFFF"/>
            </w:tcBorders>
            <w:shd w:val="clear" w:color="auto" w:fill="3F8F45"/>
            <w:tcMar>
              <w:top w:w="90" w:type="dxa"/>
              <w:left w:w="60" w:type="dxa"/>
              <w:bottom w:w="90" w:type="dxa"/>
              <w:right w:w="120" w:type="dxa"/>
            </w:tcMar>
            <w:vAlign w:val="center"/>
          </w:tcPr>
          <w:p w14:paraId="354BE0AB" w14:textId="29C008FE" w:rsidR="00421FEF" w:rsidRDefault="006976E9">
            <w:r>
              <w:rPr>
                <w:rFonts w:ascii="Georgia" w:eastAsia="Georgia" w:hAnsi="Georgia" w:cs="Georgia"/>
                <w:b/>
                <w:bCs/>
                <w:color w:val="FFFFFF"/>
                <w:sz w:val="30"/>
                <w:szCs w:val="30"/>
              </w:rPr>
              <w:t xml:space="preserve">Reason </w:t>
            </w:r>
            <w:proofErr w:type="gramStart"/>
            <w:r>
              <w:rPr>
                <w:rFonts w:ascii="Georgia" w:eastAsia="Georgia" w:hAnsi="Georgia" w:cs="Georgia"/>
                <w:b/>
                <w:bCs/>
                <w:color w:val="FFFFFF"/>
                <w:sz w:val="30"/>
                <w:szCs w:val="30"/>
              </w:rPr>
              <w:t>2  —</w:t>
            </w:r>
            <w:proofErr w:type="gramEnd"/>
            <w:r>
              <w:rPr>
                <w:rFonts w:ascii="Georgia" w:eastAsia="Georgia" w:hAnsi="Georgia" w:cs="Georgia"/>
                <w:b/>
                <w:bCs/>
                <w:color w:val="FFFFFF"/>
                <w:sz w:val="30"/>
                <w:szCs w:val="30"/>
              </w:rPr>
              <w:t xml:space="preserve">  </w:t>
            </w:r>
            <w:r w:rsidR="000C4D9B">
              <w:rPr>
                <w:rFonts w:ascii="Georgia" w:eastAsia="Georgia" w:hAnsi="Georgia" w:cs="Georgia"/>
                <w:b/>
                <w:bCs/>
                <w:color w:val="FFFFFF"/>
                <w:sz w:val="30"/>
                <w:szCs w:val="30"/>
              </w:rPr>
              <w:t>Love our Earth</w:t>
            </w:r>
          </w:p>
        </w:tc>
      </w:tr>
    </w:tbl>
    <w:p w14:paraId="354BE0AD" w14:textId="77777777" w:rsidR="00421FEF" w:rsidRDefault="006976E9">
      <w:pPr>
        <w:spacing w:after="160" w:line="276" w:lineRule="auto"/>
      </w:pPr>
      <w:r>
        <w:rPr>
          <w:b/>
          <w:bCs/>
        </w:rPr>
        <w:t xml:space="preserve">Our planet is burning — and your fork can help. </w:t>
      </w:r>
      <w:r>
        <w:t>Of all the things an individual can do to shrink their environmental footprint, the most powerful is not driving an electric car or flying less — it is changing what they eat. The data here is hard to argue with. Animal agriculture is among the greatest drivers of environmental destruction on the planet. The global food system produces roughly 29.7% of all greenhouse gas emissions, and factory farming is a major part of that.</w:t>
      </w:r>
      <w:hyperlink w:anchor="ref33" w:history="1">
        <w:r>
          <w:rPr>
            <w:b/>
            <w:bCs/>
            <w:color w:val="2E7D32"/>
            <w:vertAlign w:val="superscript"/>
          </w:rPr>
          <w:t>33</w:t>
        </w:r>
      </w:hyperlink>
      <w:r>
        <w:t xml:space="preserve"> Animal farming on its own — including all the crops grown just to feed livestock — accounts for 57% of food-related greenhouse gases, twice as much as growing all the world's plant foods combined.</w:t>
      </w:r>
      <w:hyperlink w:anchor="ref34" w:history="1">
        <w:r>
          <w:rPr>
            <w:b/>
            <w:bCs/>
            <w:color w:val="2E7D32"/>
            <w:vertAlign w:val="superscript"/>
          </w:rPr>
          <w:t>34</w:t>
        </w:r>
      </w:hyperlink>
    </w:p>
    <w:p w14:paraId="354BE0AE" w14:textId="77777777" w:rsidR="00421FEF" w:rsidRDefault="006976E9">
      <w:pPr>
        <w:spacing w:before="260" w:after="80"/>
      </w:pPr>
      <w:r>
        <w:rPr>
          <w:rFonts w:ascii="Georgia" w:eastAsia="Georgia" w:hAnsi="Georgia" w:cs="Georgia"/>
          <w:b/>
          <w:bCs/>
          <w:color w:val="1B5E20"/>
          <w:sz w:val="27"/>
          <w:szCs w:val="27"/>
        </w:rPr>
        <w:t>Climate</w:t>
      </w:r>
    </w:p>
    <w:p w14:paraId="354BE0AF" w14:textId="77777777" w:rsidR="00421FEF" w:rsidRDefault="006976E9">
      <w:pPr>
        <w:spacing w:after="160" w:line="276" w:lineRule="auto"/>
      </w:pPr>
      <w:r>
        <w:t>According to the UN Food and Agriculture Organization (FAO), livestock supply chains alone produce 14.5% of all human-caused greenhouse gas emissions worldwide — about 7.1 gigatonnes of CO₂ every year.</w:t>
      </w:r>
      <w:hyperlink w:anchor="ref35" w:history="1">
        <w:r>
          <w:rPr>
            <w:b/>
            <w:bCs/>
            <w:color w:val="2E7D32"/>
            <w:vertAlign w:val="superscript"/>
          </w:rPr>
          <w:t>35</w:t>
        </w:r>
      </w:hyperlink>
      <w:r>
        <w:t xml:space="preserve"> The wider food system accounts for nearly 30% of global emissions.</w:t>
      </w:r>
      <w:hyperlink w:anchor="ref36" w:history="1">
        <w:r>
          <w:rPr>
            <w:b/>
            <w:bCs/>
            <w:color w:val="2E7D32"/>
            <w:vertAlign w:val="superscript"/>
          </w:rPr>
          <w:t>36</w:t>
        </w:r>
      </w:hyperlink>
      <w:r>
        <w:t xml:space="preserve"> The UN's climate-science body, the IPCC, concluded in its 2022 report on cutting emissions that switching to plant-rich diets is one of the highest-impact actions an individual can take on climate change.</w:t>
      </w:r>
      <w:hyperlink w:anchor="ref37" w:history="1">
        <w:r>
          <w:rPr>
            <w:b/>
            <w:bCs/>
            <w:color w:val="2E7D32"/>
            <w:vertAlign w:val="superscript"/>
          </w:rPr>
          <w:t>37</w:t>
        </w:r>
      </w:hyperlink>
    </w:p>
    <w:p w14:paraId="354BE0B0" w14:textId="77777777" w:rsidR="00421FEF" w:rsidRDefault="006976E9">
      <w:pPr>
        <w:spacing w:after="160" w:line="276" w:lineRule="auto"/>
      </w:pPr>
      <w:r>
        <w:t xml:space="preserve">The potential savings are enormous. Research published in </w:t>
      </w:r>
      <w:r>
        <w:rPr>
          <w:i/>
          <w:iCs/>
        </w:rPr>
        <w:t>The Lancet</w:t>
      </w:r>
      <w:r>
        <w:t xml:space="preserve"> projects that a worldwide shift to plant-based diets could cut food-system greenhouse gases by up to 70% by 2050.</w:t>
      </w:r>
      <w:hyperlink w:anchor="ref38" w:history="1">
        <w:r>
          <w:rPr>
            <w:b/>
            <w:bCs/>
            <w:color w:val="2E7D32"/>
            <w:vertAlign w:val="superscript"/>
          </w:rPr>
          <w:t>38</w:t>
        </w:r>
      </w:hyperlink>
      <w:r>
        <w:t xml:space="preserve"> A study of more than 55,000 UK consumers, published in </w:t>
      </w:r>
      <w:r>
        <w:rPr>
          <w:i/>
          <w:iCs/>
        </w:rPr>
        <w:t>Nature Food</w:t>
      </w:r>
      <w:r>
        <w:t>, found that vegans have just 30% of the dietary environmental impact of high-meat eaters — making plant-based eating the single most powerful personal climate action available.</w:t>
      </w:r>
      <w:hyperlink w:anchor="ref39" w:history="1">
        <w:r>
          <w:rPr>
            <w:b/>
            <w:bCs/>
            <w:color w:val="2E7D32"/>
            <w:vertAlign w:val="superscript"/>
          </w:rPr>
          <w:t>39</w:t>
        </w:r>
      </w:hyperlink>
      <w:r>
        <w:t xml:space="preserve"> A 2026 analysis posted on </w:t>
      </w:r>
      <w:proofErr w:type="spellStart"/>
      <w:r>
        <w:t>EarthArXiv</w:t>
      </w:r>
      <w:proofErr w:type="spellEnd"/>
      <w:r>
        <w:t xml:space="preserve"> reached a similar conclusion, estimating that going vegan could cut greenhouse gas emissions by up to 61% and land use by up to 60% — the biggest reductions of any dietary change studied.</w:t>
      </w:r>
      <w:hyperlink w:anchor="ref40" w:history="1">
        <w:r>
          <w:rPr>
            <w:b/>
            <w:bCs/>
            <w:color w:val="2E7D32"/>
            <w:vertAlign w:val="superscript"/>
          </w:rPr>
          <w:t>40</w:t>
        </w:r>
      </w:hyperlink>
    </w:p>
    <w:p w14:paraId="354BE0B1" w14:textId="77777777" w:rsidR="00421FEF" w:rsidRDefault="006976E9">
      <w:pPr>
        <w:spacing w:before="140" w:after="200"/>
        <w:jc w:val="center"/>
      </w:pPr>
      <w:r>
        <w:rPr>
          <w:noProof/>
        </w:rPr>
        <w:lastRenderedPageBreak/>
        <w:drawing>
          <wp:inline distT="0" distB="0" distL="0" distR="0" wp14:anchorId="354BE156" wp14:editId="354BE157">
            <wp:extent cx="5715000" cy="3409950"/>
            <wp:effectExtent l="0" t="0" r="0" b="0"/>
            <wp:docPr id="858251516" name="chart_climate.png" descr="chart_climate.png" title="chart_clima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4"/>
                    <a:srcRect/>
                    <a:stretch>
                      <a:fillRect/>
                    </a:stretch>
                  </pic:blipFill>
                  <pic:spPr bwMode="auto">
                    <a:xfrm>
                      <a:off x="0" y="0"/>
                      <a:ext cx="5715000" cy="3409950"/>
                    </a:xfrm>
                    <a:prstGeom prst="rect">
                      <a:avLst/>
                    </a:prstGeom>
                  </pic:spPr>
                </pic:pic>
              </a:graphicData>
            </a:graphic>
          </wp:inline>
        </w:drawing>
      </w:r>
    </w:p>
    <w:p w14:paraId="354BE0B2" w14:textId="77777777" w:rsidR="00421FEF" w:rsidRDefault="006976E9">
      <w:pPr>
        <w:spacing w:before="260" w:after="80"/>
      </w:pPr>
      <w:r>
        <w:rPr>
          <w:rFonts w:ascii="Georgia" w:eastAsia="Georgia" w:hAnsi="Georgia" w:cs="Georgia"/>
          <w:b/>
          <w:bCs/>
          <w:color w:val="1B5E20"/>
          <w:sz w:val="27"/>
          <w:szCs w:val="27"/>
        </w:rPr>
        <w:t>Land and Deforestation</w:t>
      </w:r>
    </w:p>
    <w:p w14:paraId="354BE0B3" w14:textId="77777777" w:rsidR="00421FEF" w:rsidRDefault="006976E9">
      <w:pPr>
        <w:spacing w:after="160" w:line="276" w:lineRule="auto"/>
      </w:pPr>
      <w:r>
        <w:t>Animal farming is remarkably hungry for land. About 80% of all the world's farmland is used either to graze livestock or to grow their feed — yet it produces only a small fraction of the calories people actually eat.</w:t>
      </w:r>
      <w:hyperlink w:anchor="ref41" w:history="1">
        <w:r>
          <w:rPr>
            <w:b/>
            <w:bCs/>
            <w:color w:val="2E7D32"/>
            <w:vertAlign w:val="superscript"/>
          </w:rPr>
          <w:t>41</w:t>
        </w:r>
      </w:hyperlink>
      <w:r>
        <w:t xml:space="preserve"> Shifting to plant-based eating could cut the amount of land used to feed each person by up to 76%.</w:t>
      </w:r>
      <w:hyperlink w:anchor="ref42" w:history="1">
        <w:r>
          <w:rPr>
            <w:b/>
            <w:bCs/>
            <w:color w:val="2E7D32"/>
            <w:vertAlign w:val="superscript"/>
          </w:rPr>
          <w:t>42</w:t>
        </w:r>
      </w:hyperlink>
    </w:p>
    <w:p w14:paraId="354BE0B4" w14:textId="77777777" w:rsidR="00421FEF" w:rsidRDefault="006976E9">
      <w:pPr>
        <w:spacing w:after="160" w:line="276" w:lineRule="auto"/>
      </w:pPr>
      <w:r>
        <w:t>This land hunger has a direct cost to the world's forests. Animal agriculture — mainly cattle ranching and growing feed crops — is consistently identified as the single biggest driver of Amazon deforestation, responsible for most of the forest clearing in the region.</w:t>
      </w:r>
      <w:hyperlink w:anchor="ref43" w:history="1">
        <w:r>
          <w:rPr>
            <w:b/>
            <w:bCs/>
            <w:color w:val="2E7D32"/>
            <w:vertAlign w:val="superscript"/>
          </w:rPr>
          <w:t>43</w:t>
        </w:r>
      </w:hyperlink>
      <w:r>
        <w:t xml:space="preserve"> The Amazon, the most biodiverse rainforest on Earth, remains under severe pressure from the expansion of cattle operations and soy farming grown to feed animals.</w:t>
      </w:r>
      <w:hyperlink w:anchor="ref44" w:history="1">
        <w:r>
          <w:rPr>
            <w:b/>
            <w:bCs/>
            <w:color w:val="2E7D32"/>
            <w:vertAlign w:val="superscript"/>
          </w:rPr>
          <w:t>44</w:t>
        </w:r>
      </w:hyperlink>
    </w:p>
    <w:p w14:paraId="354BE0B5" w14:textId="77777777" w:rsidR="00421FEF" w:rsidRDefault="006976E9">
      <w:pPr>
        <w:spacing w:before="260" w:after="80"/>
      </w:pPr>
      <w:r>
        <w:rPr>
          <w:rFonts w:ascii="Georgia" w:eastAsia="Georgia" w:hAnsi="Georgia" w:cs="Georgia"/>
          <w:b/>
          <w:bCs/>
          <w:color w:val="1B5E20"/>
          <w:sz w:val="27"/>
          <w:szCs w:val="27"/>
        </w:rPr>
        <w:t>Water</w:t>
      </w:r>
    </w:p>
    <w:p w14:paraId="354BE0B6" w14:textId="77777777" w:rsidR="00421FEF" w:rsidRDefault="006976E9">
      <w:pPr>
        <w:spacing w:after="160" w:line="276" w:lineRule="auto"/>
      </w:pPr>
      <w:r>
        <w:t>Plant foods are far gentler on the world's water than animal foods. Producing one kilogram of beef takes around 15,400 litres of water,</w:t>
      </w:r>
      <w:hyperlink w:anchor="ref45" w:history="1">
        <w:r>
          <w:rPr>
            <w:b/>
            <w:bCs/>
            <w:color w:val="2E7D32"/>
            <w:vertAlign w:val="superscript"/>
          </w:rPr>
          <w:t>45</w:t>
        </w:r>
      </w:hyperlink>
      <w:r>
        <w:t xml:space="preserve"> while one kilogram of lentils takes about 1,250 litres — making lentils roughly 12 times more water-efficient as a source of protein.</w:t>
      </w:r>
      <w:hyperlink w:anchor="ref46" w:history="1">
        <w:r>
          <w:rPr>
            <w:b/>
            <w:bCs/>
            <w:color w:val="2E7D32"/>
            <w:vertAlign w:val="superscript"/>
          </w:rPr>
          <w:t>46</w:t>
        </w:r>
      </w:hyperlink>
      <w:r>
        <w:t xml:space="preserve"> Across the board, vegan diets cut the total water footprint more than any other eating pattern studied, with reductions of between 43.8% and 67.4% depending on the population and the type of water measured.</w:t>
      </w:r>
      <w:hyperlink w:anchor="ref47" w:history="1">
        <w:r>
          <w:rPr>
            <w:b/>
            <w:bCs/>
            <w:color w:val="2E7D32"/>
            <w:vertAlign w:val="superscript"/>
          </w:rPr>
          <w:t>47</w:t>
        </w:r>
      </w:hyperlink>
      <w:r>
        <w:t xml:space="preserve"> Animal agriculture uses nearly a third of all the fresh water consumed worldwide, much of it for growing feed crops.</w:t>
      </w:r>
      <w:hyperlink w:anchor="ref48" w:history="1">
        <w:r>
          <w:rPr>
            <w:b/>
            <w:bCs/>
            <w:color w:val="2E7D32"/>
            <w:vertAlign w:val="superscript"/>
          </w:rPr>
          <w:t>48</w:t>
        </w:r>
      </w:hyperlink>
    </w:p>
    <w:p w14:paraId="354BE0B7" w14:textId="77777777" w:rsidR="00421FEF" w:rsidRDefault="006976E9">
      <w:pPr>
        <w:spacing w:after="160" w:line="276" w:lineRule="auto"/>
      </w:pPr>
      <w:r>
        <w:t>The pollution side is just as serious. Excess nitrogen and phosphorus washing off farmland — including from livestock operations and their feed crops — is the main cause of oxygen-starved “dead zones” in the world's oceans, where sea life cannot survive.</w:t>
      </w:r>
      <w:hyperlink w:anchor="ref49" w:history="1">
        <w:r>
          <w:rPr>
            <w:b/>
            <w:bCs/>
            <w:color w:val="2E7D32"/>
            <w:vertAlign w:val="superscript"/>
          </w:rPr>
          <w:t>49</w:t>
        </w:r>
      </w:hyperlink>
      <w:r>
        <w:t xml:space="preserve"> Runoff from the US Midwest fuels the largest dead zone in the United States, in the Gulf of America; it covers about 6,500 square miles and returns every </w:t>
      </w:r>
      <w:r>
        <w:lastRenderedPageBreak/>
        <w:t>summer.</w:t>
      </w:r>
      <w:hyperlink w:anchor="ref50" w:history="1">
        <w:r>
          <w:rPr>
            <w:b/>
            <w:bCs/>
            <w:color w:val="2E7D32"/>
            <w:vertAlign w:val="superscript"/>
          </w:rPr>
          <w:t>50</w:t>
        </w:r>
      </w:hyperlink>
      <w:r>
        <w:t xml:space="preserve"> The US Environmental Protection Agency confirms that farm pollution carried down the Mississippi River Basin is the direct cause of this recurring low-oxygen zone.</w:t>
      </w:r>
      <w:hyperlink w:anchor="ref51" w:history="1">
        <w:r>
          <w:rPr>
            <w:b/>
            <w:bCs/>
            <w:color w:val="2E7D32"/>
            <w:vertAlign w:val="superscript"/>
          </w:rPr>
          <w:t>51</w:t>
        </w:r>
      </w:hyperlink>
    </w:p>
    <w:p w14:paraId="354BE0B8" w14:textId="77777777" w:rsidR="00421FEF" w:rsidRDefault="006976E9">
      <w:pPr>
        <w:spacing w:before="140" w:after="200"/>
        <w:jc w:val="center"/>
      </w:pPr>
      <w:r>
        <w:rPr>
          <w:noProof/>
        </w:rPr>
        <w:drawing>
          <wp:inline distT="0" distB="0" distL="0" distR="0" wp14:anchorId="354BE158" wp14:editId="354BE159">
            <wp:extent cx="5715000" cy="3943350"/>
            <wp:effectExtent l="0" t="0" r="0" b="0"/>
            <wp:docPr id="901704829" name="chart_water.png" descr="chart_water.png" title="chart_wat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5"/>
                    <a:srcRect/>
                    <a:stretch>
                      <a:fillRect/>
                    </a:stretch>
                  </pic:blipFill>
                  <pic:spPr bwMode="auto">
                    <a:xfrm>
                      <a:off x="0" y="0"/>
                      <a:ext cx="5715000" cy="3943350"/>
                    </a:xfrm>
                    <a:prstGeom prst="rect">
                      <a:avLst/>
                    </a:prstGeom>
                  </pic:spPr>
                </pic:pic>
              </a:graphicData>
            </a:graphic>
          </wp:inline>
        </w:drawing>
      </w:r>
    </w:p>
    <w:p w14:paraId="354BE0B9" w14:textId="77777777" w:rsidR="00421FEF" w:rsidRDefault="006976E9">
      <w:pPr>
        <w:spacing w:before="260" w:after="80"/>
      </w:pPr>
      <w:r>
        <w:rPr>
          <w:rFonts w:ascii="Georgia" w:eastAsia="Georgia" w:hAnsi="Georgia" w:cs="Georgia"/>
          <w:b/>
          <w:bCs/>
          <w:color w:val="1B5E20"/>
          <w:sz w:val="27"/>
          <w:szCs w:val="27"/>
        </w:rPr>
        <w:t>Biodiversity</w:t>
      </w:r>
    </w:p>
    <w:p w14:paraId="354BE0BA" w14:textId="77777777" w:rsidR="00421FEF" w:rsidRDefault="006976E9">
      <w:pPr>
        <w:spacing w:after="160" w:line="276" w:lineRule="auto"/>
      </w:pPr>
      <w:r>
        <w:t>We are living through a wave of extinctions. Scientists estimate that human activity has pushed the rate at which species disappear to at least 1,000 times the natural background rate that existed before humans had such influence.</w:t>
      </w:r>
      <w:hyperlink w:anchor="ref52" w:history="1">
        <w:r>
          <w:rPr>
            <w:b/>
            <w:bCs/>
            <w:color w:val="2E7D32"/>
            <w:vertAlign w:val="superscript"/>
          </w:rPr>
          <w:t>52</w:t>
        </w:r>
      </w:hyperlink>
      <w:r>
        <w:t xml:space="preserve"> The main driver is habitat destruction, and the biggest cause of that worldwide is the spread of agriculture — dominated by animal farming and the crops grown to feed it.</w:t>
      </w:r>
      <w:hyperlink w:anchor="ref53" w:history="1">
        <w:r>
          <w:rPr>
            <w:b/>
            <w:bCs/>
            <w:color w:val="2E7D32"/>
            <w:vertAlign w:val="superscript"/>
          </w:rPr>
          <w:t>53</w:t>
        </w:r>
      </w:hyperlink>
      <w:r>
        <w:t xml:space="preserve"> The UN's 2019 biodiversity report warned that around 1 million animal and plant species are now threatened with extinction, many within decades — more than at any other point in human history.</w:t>
      </w:r>
      <w:hyperlink w:anchor="ref54" w:history="1">
        <w:r>
          <w:rPr>
            <w:b/>
            <w:bCs/>
            <w:color w:val="2E7D32"/>
            <w:vertAlign w:val="superscript"/>
          </w:rPr>
          <w:t>54</w:t>
        </w:r>
      </w:hyperlink>
    </w:p>
    <w:p w14:paraId="354BE0BB" w14:textId="77777777" w:rsidR="00421FEF" w:rsidRDefault="006976E9">
      <w:pPr>
        <w:spacing w:before="260" w:after="80"/>
      </w:pPr>
      <w:r>
        <w:rPr>
          <w:rFonts w:ascii="Georgia" w:eastAsia="Georgia" w:hAnsi="Georgia" w:cs="Georgia"/>
          <w:b/>
          <w:bCs/>
          <w:color w:val="1B5E20"/>
          <w:sz w:val="27"/>
          <w:szCs w:val="27"/>
        </w:rPr>
        <w:t>The Efficiency Argument</w:t>
      </w:r>
    </w:p>
    <w:p w14:paraId="354BE0BC" w14:textId="77777777" w:rsidR="00421FEF" w:rsidRDefault="006976E9">
      <w:pPr>
        <w:spacing w:after="160" w:line="276" w:lineRule="auto"/>
      </w:pPr>
      <w:r>
        <w:t>There is also a simple efficiency case. Moving away from animal-based foods could add up to 49% to the world's food supply without clearing a single extra acre of cropland.</w:t>
      </w:r>
      <w:hyperlink w:anchor="ref55" w:history="1">
        <w:r>
          <w:rPr>
            <w:b/>
            <w:bCs/>
            <w:color w:val="2E7D32"/>
            <w:vertAlign w:val="superscript"/>
          </w:rPr>
          <w:t>55</w:t>
        </w:r>
      </w:hyperlink>
      <w:r>
        <w:t xml:space="preserve"> The water figures make the point starkly: beef needs about 15,400 litres of water per kilogram, compared with roughly 1,250 litres for lentils, showing just how much more efficiently plants turn resources into food at scale.</w:t>
      </w:r>
      <w:hyperlink w:anchor="ref56" w:history="1">
        <w:r>
          <w:rPr>
            <w:b/>
            <w:bCs/>
            <w:color w:val="2E7D32"/>
            <w:vertAlign w:val="superscript"/>
          </w:rPr>
          <w:t>56</w:t>
        </w:r>
      </w:hyperlink>
      <w:r>
        <w:t xml:space="preserve"> And a global shift to plant-based diets could reduce food-related greenhouse gases by 70% and cut global deaths by 10% by 2050 — making dietary change not only an environmental priority but a public-health one as well.</w:t>
      </w:r>
      <w:hyperlink w:anchor="ref57" w:history="1">
        <w:r>
          <w:rPr>
            <w:b/>
            <w:bCs/>
            <w:color w:val="2E7D32"/>
            <w:vertAlign w:val="superscript"/>
          </w:rPr>
          <w:t>57</w:t>
        </w:r>
      </w:hyperlink>
    </w:p>
    <w:p w14:paraId="78F451A6" w14:textId="77777777" w:rsidR="000E1F26" w:rsidRDefault="000E1F26">
      <w:pPr>
        <w:spacing w:after="160" w:line="276" w:lineRule="auto"/>
      </w:pPr>
    </w:p>
    <w:p w14:paraId="354BE0BD" w14:textId="77777777" w:rsidR="00421FEF" w:rsidRDefault="006976E9">
      <w:pPr>
        <w:spacing w:before="260" w:after="80"/>
      </w:pPr>
      <w:r>
        <w:rPr>
          <w:rFonts w:ascii="Georgia" w:eastAsia="Georgia" w:hAnsi="Georgia" w:cs="Georgia"/>
          <w:b/>
          <w:bCs/>
          <w:color w:val="1B5E20"/>
          <w:sz w:val="27"/>
          <w:szCs w:val="27"/>
        </w:rPr>
        <w:lastRenderedPageBreak/>
        <w:t>Industrial Fishing</w:t>
      </w:r>
    </w:p>
    <w:p w14:paraId="354BE0BE" w14:textId="77777777" w:rsidR="00421FEF" w:rsidRDefault="006976E9">
      <w:pPr>
        <w:spacing w:after="160" w:line="276" w:lineRule="auto"/>
      </w:pPr>
      <w:r>
        <w:t>It is not only the land that is affected. Industrial fishing is one of the most destructive forces facing the oceans and the climate:</w:t>
      </w:r>
    </w:p>
    <w:p w14:paraId="354BE0BF" w14:textId="77777777" w:rsidR="00421FEF" w:rsidRDefault="006976E9">
      <w:pPr>
        <w:pStyle w:val="ListParagraph"/>
        <w:numPr>
          <w:ilvl w:val="0"/>
          <w:numId w:val="2"/>
        </w:numPr>
        <w:spacing w:after="150" w:line="276" w:lineRule="auto"/>
      </w:pPr>
      <w:r>
        <w:rPr>
          <w:b/>
          <w:bCs/>
        </w:rPr>
        <w:t xml:space="preserve">Overfishing. </w:t>
      </w:r>
      <w:r>
        <w:t xml:space="preserve">More than 35% of the world's marine fish stocks are overfished. The FAO's </w:t>
      </w:r>
      <w:r>
        <w:rPr>
          <w:i/>
          <w:iCs/>
        </w:rPr>
        <w:t>State of World Fisheries and Aquaculture</w:t>
      </w:r>
      <w:r>
        <w:t xml:space="preserve"> report confirms that 35.4% of marine stocks are fished at biologically unsustainable levels, with most of the rest already pushed to their maximum sustainable limit.</w:t>
      </w:r>
      <w:hyperlink w:anchor="ref58" w:history="1">
        <w:r>
          <w:rPr>
            <w:b/>
            <w:bCs/>
            <w:color w:val="2E7D32"/>
            <w:vertAlign w:val="superscript"/>
          </w:rPr>
          <w:t>58</w:t>
        </w:r>
      </w:hyperlink>
    </w:p>
    <w:p w14:paraId="354BE0C0" w14:textId="77777777" w:rsidR="00421FEF" w:rsidRDefault="006976E9">
      <w:pPr>
        <w:pStyle w:val="ListParagraph"/>
        <w:numPr>
          <w:ilvl w:val="0"/>
          <w:numId w:val="2"/>
        </w:numPr>
        <w:spacing w:after="150" w:line="276" w:lineRule="auto"/>
      </w:pPr>
      <w:r>
        <w:rPr>
          <w:b/>
          <w:bCs/>
        </w:rPr>
        <w:t xml:space="preserve">Bottom trawling. </w:t>
      </w:r>
      <w:r>
        <w:t xml:space="preserve">One of the most common and destructive fishing methods, bottom trawling wrecks the seafloor. Heavy weighted nets are dragged along the ocean bottom, destroying fragile habitats such as cold-water corals and sponge beds that took centuries or even thousands of years to form. A 2021 study in </w:t>
      </w:r>
      <w:r>
        <w:rPr>
          <w:i/>
          <w:iCs/>
        </w:rPr>
        <w:t>Nature</w:t>
      </w:r>
      <w:r>
        <w:t xml:space="preserve"> estimated that bottom trawling releases as much carbon each year as the entire global aviation industry.</w:t>
      </w:r>
      <w:hyperlink w:anchor="ref59" w:history="1">
        <w:r>
          <w:rPr>
            <w:b/>
            <w:bCs/>
            <w:color w:val="2E7D32"/>
            <w:vertAlign w:val="superscript"/>
          </w:rPr>
          <w:t>59</w:t>
        </w:r>
      </w:hyperlink>
    </w:p>
    <w:p w14:paraId="354BE0C1" w14:textId="77777777" w:rsidR="00421FEF" w:rsidRDefault="006976E9">
      <w:pPr>
        <w:pStyle w:val="ListParagraph"/>
        <w:numPr>
          <w:ilvl w:val="0"/>
          <w:numId w:val="2"/>
        </w:numPr>
        <w:spacing w:after="150" w:line="276" w:lineRule="auto"/>
      </w:pPr>
      <w:r>
        <w:rPr>
          <w:b/>
          <w:bCs/>
        </w:rPr>
        <w:t xml:space="preserve">Bycatch. </w:t>
      </w:r>
      <w:r>
        <w:t>Industrial fishing causes huge amounts of bycatch — the accidental capture and killing of animals that were not the target. NOAA Fisheries confirms that creatures including dolphins, sea turtles, whales, and seabirds are frequently caught unintentionally, often suffering serious injury or death, which disrupts ocean ecosystems and sets back the recovery of protected species.</w:t>
      </w:r>
      <w:hyperlink w:anchor="ref60" w:history="1">
        <w:r>
          <w:rPr>
            <w:b/>
            <w:bCs/>
            <w:color w:val="2E7D32"/>
            <w:vertAlign w:val="superscript"/>
          </w:rPr>
          <w:t>60</w:t>
        </w:r>
      </w:hyperlink>
    </w:p>
    <w:p w14:paraId="354BE0C2" w14:textId="77777777" w:rsidR="00421FEF" w:rsidRDefault="00421FEF">
      <w:pPr>
        <w:pageBreakBefore/>
        <w:spacing w:after="60"/>
      </w:pPr>
    </w:p>
    <w:tbl>
      <w:tblPr>
        <w:tblW w:w="9360"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120"/>
        <w:gridCol w:w="8240"/>
      </w:tblGrid>
      <w:tr w:rsidR="00421FEF" w14:paraId="354BE0C5" w14:textId="77777777">
        <w:tc>
          <w:tcPr>
            <w:tcW w:w="1120" w:type="dxa"/>
            <w:tcBorders>
              <w:top w:val="none" w:sz="0" w:space="0" w:color="FFFFFF"/>
              <w:left w:val="none" w:sz="0" w:space="0" w:color="FFFFFF"/>
              <w:bottom w:val="none" w:sz="0" w:space="0" w:color="FFFFFF"/>
              <w:right w:val="none" w:sz="0" w:space="0" w:color="FFFFFF"/>
            </w:tcBorders>
            <w:shd w:val="clear" w:color="auto" w:fill="3F8F45"/>
            <w:tcMar>
              <w:top w:w="90" w:type="dxa"/>
              <w:left w:w="150" w:type="dxa"/>
              <w:bottom w:w="90" w:type="dxa"/>
              <w:right w:w="40" w:type="dxa"/>
            </w:tcMar>
            <w:vAlign w:val="center"/>
          </w:tcPr>
          <w:p w14:paraId="354BE0C3" w14:textId="77777777" w:rsidR="00421FEF" w:rsidRDefault="006976E9">
            <w:pPr>
              <w:jc w:val="center"/>
            </w:pPr>
            <w:r>
              <w:rPr>
                <w:noProof/>
              </w:rPr>
              <w:drawing>
                <wp:inline distT="0" distB="0" distL="0" distR="0" wp14:anchorId="354BE15A" wp14:editId="354BE15B">
                  <wp:extent cx="419100" cy="419100"/>
                  <wp:effectExtent l="0" t="0" r="0" b="0"/>
                  <wp:docPr id="609771386" name="icon_animals.png" descr="icon_animals.png" title="icon_animal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1"/>
                          <a:srcRect/>
                          <a:stretch>
                            <a:fillRect/>
                          </a:stretch>
                        </pic:blipFill>
                        <pic:spPr bwMode="auto">
                          <a:xfrm>
                            <a:off x="0" y="0"/>
                            <a:ext cx="419100" cy="419100"/>
                          </a:xfrm>
                          <a:prstGeom prst="rect">
                            <a:avLst/>
                          </a:prstGeom>
                        </pic:spPr>
                      </pic:pic>
                    </a:graphicData>
                  </a:graphic>
                </wp:inline>
              </w:drawing>
            </w:r>
          </w:p>
        </w:tc>
        <w:tc>
          <w:tcPr>
            <w:tcW w:w="8240" w:type="dxa"/>
            <w:tcBorders>
              <w:top w:val="none" w:sz="0" w:space="0" w:color="FFFFFF"/>
              <w:left w:val="none" w:sz="0" w:space="0" w:color="FFFFFF"/>
              <w:bottom w:val="none" w:sz="0" w:space="0" w:color="FFFFFF"/>
              <w:right w:val="none" w:sz="0" w:space="0" w:color="FFFFFF"/>
            </w:tcBorders>
            <w:shd w:val="clear" w:color="auto" w:fill="3F8F45"/>
            <w:tcMar>
              <w:top w:w="90" w:type="dxa"/>
              <w:left w:w="60" w:type="dxa"/>
              <w:bottom w:w="90" w:type="dxa"/>
              <w:right w:w="120" w:type="dxa"/>
            </w:tcMar>
            <w:vAlign w:val="center"/>
          </w:tcPr>
          <w:p w14:paraId="354BE0C4" w14:textId="77777777" w:rsidR="00421FEF" w:rsidRDefault="006976E9">
            <w:r>
              <w:rPr>
                <w:rFonts w:ascii="Georgia" w:eastAsia="Georgia" w:hAnsi="Georgia" w:cs="Georgia"/>
                <w:b/>
                <w:bCs/>
                <w:color w:val="FFFFFF"/>
                <w:sz w:val="30"/>
                <w:szCs w:val="30"/>
              </w:rPr>
              <w:t xml:space="preserve">Reason </w:t>
            </w:r>
            <w:proofErr w:type="gramStart"/>
            <w:r>
              <w:rPr>
                <w:rFonts w:ascii="Georgia" w:eastAsia="Georgia" w:hAnsi="Georgia" w:cs="Georgia"/>
                <w:b/>
                <w:bCs/>
                <w:color w:val="FFFFFF"/>
                <w:sz w:val="30"/>
                <w:szCs w:val="30"/>
              </w:rPr>
              <w:t>3  —</w:t>
            </w:r>
            <w:proofErr w:type="gramEnd"/>
            <w:r>
              <w:rPr>
                <w:rFonts w:ascii="Georgia" w:eastAsia="Georgia" w:hAnsi="Georgia" w:cs="Georgia"/>
                <w:b/>
                <w:bCs/>
                <w:color w:val="FFFFFF"/>
                <w:sz w:val="30"/>
                <w:szCs w:val="30"/>
              </w:rPr>
              <w:t xml:space="preserve">  Love Animals</w:t>
            </w:r>
          </w:p>
        </w:tc>
      </w:tr>
    </w:tbl>
    <w:p w14:paraId="354BE0C6" w14:textId="77777777" w:rsidR="00421FEF" w:rsidRDefault="006976E9">
      <w:pPr>
        <w:spacing w:after="160" w:line="276" w:lineRule="auto"/>
      </w:pPr>
      <w:r>
        <w:rPr>
          <w:b/>
          <w:bCs/>
        </w:rPr>
        <w:t xml:space="preserve">They feel pain. They fear death. They deserve better. </w:t>
      </w:r>
      <w:r>
        <w:t>For many people, this is the reason they go vegan and never look back — not as a passing diet trend, but as a moral conclusion grounded in science. The animals we eat are not as different from our pets as we have been led to believe. The scientific community now formally recognises farmed animals as sentient beings — able to feel pleasure, fear, pain, and emotional distress.</w:t>
      </w:r>
      <w:hyperlink w:anchor="ref61" w:history="1">
        <w:r>
          <w:rPr>
            <w:b/>
            <w:bCs/>
            <w:color w:val="2E7D32"/>
            <w:vertAlign w:val="superscript"/>
          </w:rPr>
          <w:t>61</w:t>
        </w:r>
      </w:hyperlink>
    </w:p>
    <w:p w14:paraId="354BE0C7" w14:textId="77777777" w:rsidR="00421FEF" w:rsidRDefault="006976E9">
      <w:pPr>
        <w:spacing w:before="260" w:after="80"/>
      </w:pPr>
      <w:r>
        <w:rPr>
          <w:rFonts w:ascii="Georgia" w:eastAsia="Georgia" w:hAnsi="Georgia" w:cs="Georgia"/>
          <w:b/>
          <w:bCs/>
          <w:color w:val="1B5E20"/>
          <w:sz w:val="27"/>
          <w:szCs w:val="27"/>
        </w:rPr>
        <w:t>The Scale of Suffering</w:t>
      </w:r>
    </w:p>
    <w:p w14:paraId="354BE0C8" w14:textId="77777777" w:rsidR="00421FEF" w:rsidRDefault="006976E9">
      <w:pPr>
        <w:spacing w:after="160" w:line="276" w:lineRule="auto"/>
      </w:pPr>
      <w:r>
        <w:t>The numbers are almost too large to picture. Every year, humans slaughter more than 80 billion land animals for food; according to the UN FAO, the reported total reached 83 billion in 2022 alone — a figure that has climbed every year for six decades, and that does not even count the male chicks killed by the egg industry or the many animals for which no data exists.</w:t>
      </w:r>
      <w:hyperlink w:anchor="ref62" w:history="1">
        <w:r>
          <w:rPr>
            <w:b/>
            <w:bCs/>
            <w:color w:val="2E7D32"/>
            <w:vertAlign w:val="superscript"/>
          </w:rPr>
          <w:t>62</w:t>
        </w:r>
      </w:hyperlink>
      <w:r>
        <w:t xml:space="preserve"> Once farmed fish are added in, the yearly total likely passes 200 billion and may be far higher — not merely doubling the land-animal figure but dwarfing it.</w:t>
      </w:r>
      <w:hyperlink w:anchor="ref63" w:history="1">
        <w:r>
          <w:rPr>
            <w:b/>
            <w:bCs/>
            <w:color w:val="2E7D32"/>
            <w:vertAlign w:val="superscript"/>
          </w:rPr>
          <w:t>63</w:t>
        </w:r>
      </w:hyperlink>
    </w:p>
    <w:p w14:paraId="354BE0C9" w14:textId="77777777" w:rsidR="00421FEF" w:rsidRDefault="006976E9">
      <w:pPr>
        <w:spacing w:after="160" w:line="276" w:lineRule="auto"/>
      </w:pPr>
      <w:r>
        <w:t>A 2026 World Animal Protection Factory Farming Index — the first of its kind — surveyed 151 countries and found that in 2020, 76 billion animals were raised in intensive factory-farming systems worldwide: an average of 10 factory-farmed animals raised and killed for every person on Earth each year.</w:t>
      </w:r>
      <w:hyperlink w:anchor="ref64" w:history="1">
        <w:r>
          <w:rPr>
            <w:b/>
            <w:bCs/>
            <w:color w:val="2E7D32"/>
            <w:vertAlign w:val="superscript"/>
          </w:rPr>
          <w:t>64</w:t>
        </w:r>
      </w:hyperlink>
      <w:r>
        <w:t xml:space="preserve"> In the United States, 99.9% of chickens raised for meat spend their entire lives in factory farms.</w:t>
      </w:r>
      <w:hyperlink w:anchor="ref65" w:history="1">
        <w:r>
          <w:rPr>
            <w:b/>
            <w:bCs/>
            <w:color w:val="2E7D32"/>
            <w:vertAlign w:val="superscript"/>
          </w:rPr>
          <w:t>65</w:t>
        </w:r>
      </w:hyperlink>
    </w:p>
    <w:p w14:paraId="354BE0CA" w14:textId="77777777" w:rsidR="00421FEF" w:rsidRDefault="006976E9">
      <w:pPr>
        <w:spacing w:before="260" w:after="80"/>
      </w:pPr>
      <w:r>
        <w:rPr>
          <w:rFonts w:ascii="Georgia" w:eastAsia="Georgia" w:hAnsi="Georgia" w:cs="Georgia"/>
          <w:b/>
          <w:bCs/>
          <w:color w:val="1B5E20"/>
          <w:sz w:val="27"/>
          <w:szCs w:val="27"/>
        </w:rPr>
        <w:t>The Science of Animal Consciousness Is Settled</w:t>
      </w:r>
    </w:p>
    <w:p w14:paraId="354BE0CB" w14:textId="77777777" w:rsidR="00421FEF" w:rsidRDefault="006976E9">
      <w:pPr>
        <w:spacing w:after="160" w:line="276" w:lineRule="auto"/>
      </w:pPr>
      <w:r>
        <w:t>The question of whether animals are conscious has effectively been answered. In 2012, the Cambridge Declaration on Consciousness — signed by some of the world's leading neuroscientists — formally stated that non-human animals possess the neuroanatomical, neurochemical, and neurophysiological foundations of conscious states, and that humans are not unique in having the neurological basis for consciousness.</w:t>
      </w:r>
      <w:hyperlink w:anchor="ref66" w:history="1">
        <w:r>
          <w:rPr>
            <w:b/>
            <w:bCs/>
            <w:color w:val="2E7D32"/>
            <w:vertAlign w:val="superscript"/>
          </w:rPr>
          <w:t>66</w:t>
        </w:r>
      </w:hyperlink>
      <w:r>
        <w:t xml:space="preserve"> In 2024, the New York Declaration on Animal Consciousness — led by scholars from New York University, York University, and the London School of Economics — went further, affirming “strong scientific support” for consciousness in all mammals and birds, and “at least a realistic possibility” of conscious experience in all vertebrates, including fish, and in many invertebrates.</w:t>
      </w:r>
      <w:hyperlink w:anchor="ref67" w:history="1">
        <w:r>
          <w:rPr>
            <w:b/>
            <w:bCs/>
            <w:color w:val="2E7D32"/>
            <w:vertAlign w:val="superscript"/>
          </w:rPr>
          <w:t>67</w:t>
        </w:r>
      </w:hyperlink>
      <w:r>
        <w:t xml:space="preserve"> Animals feel pain. Animals feel fear. Pigs, cows, chickens, and fish are not objects; they are individuals living their own lives.</w:t>
      </w:r>
    </w:p>
    <w:p w14:paraId="354BE0CC" w14:textId="77777777" w:rsidR="00421FEF" w:rsidRDefault="006976E9">
      <w:pPr>
        <w:spacing w:before="260" w:after="80"/>
      </w:pPr>
      <w:r>
        <w:rPr>
          <w:rFonts w:ascii="Georgia" w:eastAsia="Georgia" w:hAnsi="Georgia" w:cs="Georgia"/>
          <w:b/>
          <w:bCs/>
          <w:color w:val="1B5E20"/>
          <w:sz w:val="27"/>
          <w:szCs w:val="27"/>
        </w:rPr>
        <w:t>Animal Intelligence and Emotions</w:t>
      </w:r>
    </w:p>
    <w:p w14:paraId="354BE0CD" w14:textId="77777777" w:rsidR="00421FEF" w:rsidRDefault="006976E9">
      <w:pPr>
        <w:spacing w:after="160" w:line="276" w:lineRule="auto"/>
      </w:pPr>
      <w:r>
        <w:t xml:space="preserve">These animals are also far smarter and more emotional than most of us realise. As the renowned scientist Jane Goodall has put it: </w:t>
      </w:r>
      <w:r>
        <w:rPr>
          <w:i/>
          <w:iCs/>
        </w:rPr>
        <w:t>“Farm animals feel pleasure and sadness, excitement and resentment, depression, fear and pain. They are far more aware and intelligent than we ever imagined.”</w:t>
      </w:r>
      <w:r>
        <w:t xml:space="preserve"> The research bears her out. Studies have shown that pigs can solve mazes, use mirrors to find hidden treats, and even play simple video games.</w:t>
      </w:r>
      <w:hyperlink w:anchor="ref68" w:history="1">
        <w:r>
          <w:rPr>
            <w:b/>
            <w:bCs/>
            <w:color w:val="2E7D32"/>
            <w:vertAlign w:val="superscript"/>
          </w:rPr>
          <w:t>68</w:t>
        </w:r>
      </w:hyperlink>
      <w:r>
        <w:rPr>
          <w:color w:val="2E7D32"/>
          <w:vertAlign w:val="superscript"/>
        </w:rPr>
        <w:t>,</w:t>
      </w:r>
      <w:hyperlink w:anchor="ref69" w:history="1">
        <w:r>
          <w:rPr>
            <w:b/>
            <w:bCs/>
            <w:color w:val="2E7D32"/>
            <w:vertAlign w:val="superscript"/>
          </w:rPr>
          <w:t>69</w:t>
        </w:r>
      </w:hyperlink>
      <w:r>
        <w:t xml:space="preserve"> A peer-reviewed study in </w:t>
      </w:r>
      <w:r>
        <w:rPr>
          <w:i/>
          <w:iCs/>
        </w:rPr>
        <w:t>Animal Cognition</w:t>
      </w:r>
      <w:r>
        <w:t xml:space="preserve"> found that chickens can plan ahead, grasp cause and effect, and exercise self-control — abilities we usually associate with much </w:t>
      </w:r>
      <w:r>
        <w:lastRenderedPageBreak/>
        <w:t>larger-brained animals.</w:t>
      </w:r>
      <w:hyperlink w:anchor="ref70" w:history="1">
        <w:r>
          <w:rPr>
            <w:b/>
            <w:bCs/>
            <w:color w:val="2E7D32"/>
            <w:vertAlign w:val="superscript"/>
          </w:rPr>
          <w:t>70</w:t>
        </w:r>
      </w:hyperlink>
      <w:r>
        <w:t xml:space="preserve"> And Cambridge University researchers found that cows have “eureka” moments, taking genuine pleasure in working something out, while also forming deep social bonds and recognising one another's faces.</w:t>
      </w:r>
      <w:hyperlink w:anchor="ref71" w:history="1">
        <w:r>
          <w:rPr>
            <w:b/>
            <w:bCs/>
            <w:color w:val="2E7D32"/>
            <w:vertAlign w:val="superscript"/>
          </w:rPr>
          <w:t>71</w:t>
        </w:r>
      </w:hyperlink>
    </w:p>
    <w:p w14:paraId="354BE0CE" w14:textId="77777777" w:rsidR="00421FEF" w:rsidRDefault="006976E9">
      <w:pPr>
        <w:spacing w:before="260" w:after="80"/>
      </w:pPr>
      <w:r>
        <w:rPr>
          <w:rFonts w:ascii="Georgia" w:eastAsia="Georgia" w:hAnsi="Georgia" w:cs="Georgia"/>
          <w:b/>
          <w:bCs/>
          <w:color w:val="1B5E20"/>
          <w:sz w:val="27"/>
          <w:szCs w:val="27"/>
        </w:rPr>
        <w:t>The Reality of Factory Farms</w:t>
      </w:r>
    </w:p>
    <w:p w14:paraId="354BE0CF" w14:textId="77777777" w:rsidR="00421FEF" w:rsidRDefault="006976E9">
      <w:pPr>
        <w:spacing w:after="160" w:line="276" w:lineRule="auto"/>
      </w:pPr>
      <w:r>
        <w:t>Most farmed animals never get to live anything resembling a natural life. In factory farms they live only a fraction of their natural lifespan, in bare, crowded conditions with almost no chance to do the things that come naturally to them — socialising, raising their young, or simply exploring. The human cost is real too: the factory farming of chickens, pigs, and cows is calculated to take an average of 1.8 years of healthy life from every person on Earth, through antibiotic resistance, respiratory disease, and excess meat consumption.</w:t>
      </w:r>
      <w:hyperlink w:anchor="ref72" w:history="1">
        <w:r>
          <w:rPr>
            <w:b/>
            <w:bCs/>
            <w:color w:val="2E7D32"/>
            <w:vertAlign w:val="superscript"/>
          </w:rPr>
          <w:t>72</w:t>
        </w:r>
      </w:hyperlink>
      <w:r>
        <w:t xml:space="preserve"> Researchers have demonstrated empathy in pigs, social intelligence in goats comparable to that of dogs, and even the ability to potty-train cows — and yet these animals receive none of the protections we extend to the pets we love.</w:t>
      </w:r>
    </w:p>
    <w:p w14:paraId="354BE0D0" w14:textId="77777777" w:rsidR="00421FEF" w:rsidRDefault="006976E9">
      <w:pPr>
        <w:spacing w:before="260" w:after="80"/>
      </w:pPr>
      <w:r>
        <w:rPr>
          <w:rFonts w:ascii="Georgia" w:eastAsia="Georgia" w:hAnsi="Georgia" w:cs="Georgia"/>
          <w:b/>
          <w:bCs/>
          <w:color w:val="1B5E20"/>
          <w:sz w:val="27"/>
          <w:szCs w:val="27"/>
        </w:rPr>
        <w:t>Inside the Industry, Animal by Animal</w:t>
      </w:r>
    </w:p>
    <w:p w14:paraId="354BE0D1" w14:textId="77777777" w:rsidR="00421FEF" w:rsidRDefault="006976E9">
      <w:pPr>
        <w:spacing w:after="160" w:line="276" w:lineRule="auto"/>
      </w:pPr>
      <w:r>
        <w:t>The everyday conditions on factory farms are difficult to defend once you know the details.</w:t>
      </w:r>
    </w:p>
    <w:p w14:paraId="354BE0D2" w14:textId="77777777" w:rsidR="00421FEF" w:rsidRDefault="006976E9">
      <w:pPr>
        <w:pStyle w:val="ListParagraph"/>
        <w:numPr>
          <w:ilvl w:val="0"/>
          <w:numId w:val="2"/>
        </w:numPr>
        <w:spacing w:after="150" w:line="276" w:lineRule="auto"/>
      </w:pPr>
      <w:r>
        <w:rPr>
          <w:b/>
          <w:bCs/>
        </w:rPr>
        <w:t xml:space="preserve">Meat chickens — over 99.9% factory-farmed. </w:t>
      </w:r>
      <w:r>
        <w:t>According to the Sentience Institute, more than 99.9% of chickens raised for meat in the US live on factory farms.</w:t>
      </w:r>
      <w:hyperlink w:anchor="ref73" w:history="1">
        <w:r>
          <w:rPr>
            <w:b/>
            <w:bCs/>
            <w:color w:val="2E7D32"/>
            <w:vertAlign w:val="superscript"/>
          </w:rPr>
          <w:t>73</w:t>
        </w:r>
      </w:hyperlink>
      <w:r>
        <w:t xml:space="preserve"> In intensive UK systems, the RSPCA reports that these birds are typically slaughtered at around five weeks old, weighing about 2.2 kg, after gaining more than 62 g a day; in the US, the standard range is 7 to 9 weeks for most commercial broilers.</w:t>
      </w:r>
      <w:hyperlink w:anchor="ref74" w:history="1">
        <w:r>
          <w:rPr>
            <w:b/>
            <w:bCs/>
            <w:color w:val="2E7D32"/>
            <w:vertAlign w:val="superscript"/>
          </w:rPr>
          <w:t>74</w:t>
        </w:r>
      </w:hyperlink>
      <w:r>
        <w:t xml:space="preserve"> Either way, the core welfare concern is the same: they have been selectively bred to grow so fast that many can no longer support their own weight, leaving them lame and suffering before slaughter.</w:t>
      </w:r>
      <w:hyperlink w:anchor="ref75" w:history="1">
        <w:r>
          <w:rPr>
            <w:b/>
            <w:bCs/>
            <w:color w:val="2E7D32"/>
            <w:vertAlign w:val="superscript"/>
          </w:rPr>
          <w:t>75</w:t>
        </w:r>
      </w:hyperlink>
    </w:p>
    <w:p w14:paraId="354BE0D3" w14:textId="77777777" w:rsidR="00421FEF" w:rsidRDefault="006976E9">
      <w:pPr>
        <w:pStyle w:val="ListParagraph"/>
        <w:numPr>
          <w:ilvl w:val="0"/>
          <w:numId w:val="2"/>
        </w:numPr>
        <w:spacing w:after="150" w:line="276" w:lineRule="auto"/>
      </w:pPr>
      <w:r>
        <w:rPr>
          <w:b/>
          <w:bCs/>
        </w:rPr>
        <w:t xml:space="preserve">Egg-laying hens — 98.3% factory-farmed. </w:t>
      </w:r>
      <w:r>
        <w:t>The Sentience Institute reports that 98.3% of egg-laying hens in the US are kept in factory-farm conditions.</w:t>
      </w:r>
      <w:hyperlink w:anchor="ref76" w:history="1">
        <w:r>
          <w:rPr>
            <w:b/>
            <w:bCs/>
            <w:color w:val="2E7D32"/>
            <w:vertAlign w:val="superscript"/>
          </w:rPr>
          <w:t>76</w:t>
        </w:r>
      </w:hyperlink>
      <w:r>
        <w:t xml:space="preserve"> Hens in battery cages are typically given around 750 cm² of space each — barely larger than a sheet of A4 paper (624 cm²) — leaving no room to spread their wings, dust-bathe, perch, or nest.</w:t>
      </w:r>
      <w:hyperlink w:anchor="ref77" w:history="1">
        <w:r>
          <w:rPr>
            <w:b/>
            <w:bCs/>
            <w:color w:val="2E7D32"/>
            <w:vertAlign w:val="superscript"/>
          </w:rPr>
          <w:t>77</w:t>
        </w:r>
      </w:hyperlink>
    </w:p>
    <w:p w14:paraId="354BE0D4" w14:textId="77777777" w:rsidR="00421FEF" w:rsidRDefault="006976E9">
      <w:pPr>
        <w:pStyle w:val="ListParagraph"/>
        <w:numPr>
          <w:ilvl w:val="0"/>
          <w:numId w:val="2"/>
        </w:numPr>
        <w:spacing w:after="150" w:line="276" w:lineRule="auto"/>
      </w:pPr>
      <w:r>
        <w:rPr>
          <w:b/>
          <w:bCs/>
        </w:rPr>
        <w:t xml:space="preserve">Pigs — 98.6% factory-farmed. </w:t>
      </w:r>
      <w:r>
        <w:t>The Sentience Institute reports that 98.6% of pigs in the US are raised on factory farms.</w:t>
      </w:r>
      <w:hyperlink w:anchor="ref78" w:history="1">
        <w:r>
          <w:rPr>
            <w:b/>
            <w:bCs/>
            <w:color w:val="2E7D32"/>
            <w:vertAlign w:val="superscript"/>
          </w:rPr>
          <w:t>78</w:t>
        </w:r>
      </w:hyperlink>
      <w:r>
        <w:t xml:space="preserve"> Breeding sows are confined in individual metal gestation crates about 2 feet wide by 7 feet long throughout their four-month pregnancies — crates so small the animal cannot turn around.</w:t>
      </w:r>
      <w:hyperlink w:anchor="ref79" w:history="1">
        <w:r>
          <w:rPr>
            <w:b/>
            <w:bCs/>
            <w:color w:val="2E7D32"/>
            <w:vertAlign w:val="superscript"/>
          </w:rPr>
          <w:t>79</w:t>
        </w:r>
      </w:hyperlink>
      <w:r>
        <w:t xml:space="preserve"> Shortly before giving birth, sows are moved into equally restrictive farrowing crates, where they can be confined for up to five weeks at a time, several times a year.</w:t>
      </w:r>
      <w:hyperlink w:anchor="ref80" w:history="1">
        <w:r>
          <w:rPr>
            <w:b/>
            <w:bCs/>
            <w:color w:val="2E7D32"/>
            <w:vertAlign w:val="superscript"/>
          </w:rPr>
          <w:t>80</w:t>
        </w:r>
      </w:hyperlink>
    </w:p>
    <w:p w14:paraId="354BE0D5" w14:textId="77777777" w:rsidR="00421FEF" w:rsidRDefault="006976E9">
      <w:pPr>
        <w:pStyle w:val="ListParagraph"/>
        <w:numPr>
          <w:ilvl w:val="0"/>
          <w:numId w:val="2"/>
        </w:numPr>
        <w:spacing w:after="150" w:line="276" w:lineRule="auto"/>
      </w:pPr>
      <w:r>
        <w:rPr>
          <w:b/>
          <w:bCs/>
        </w:rPr>
        <w:t xml:space="preserve">Turkeys — 99.8% factory-farmed. </w:t>
      </w:r>
      <w:r>
        <w:t>The Sentience Institute reports that 99.8% of turkeys in the US are factory-farmed, confined from the moment they hatch.</w:t>
      </w:r>
      <w:hyperlink w:anchor="ref81" w:history="1">
        <w:r>
          <w:rPr>
            <w:b/>
            <w:bCs/>
            <w:color w:val="2E7D32"/>
            <w:vertAlign w:val="superscript"/>
          </w:rPr>
          <w:t>81</w:t>
        </w:r>
      </w:hyperlink>
      <w:r>
        <w:t xml:space="preserve"> They are hatched in large incubators, never meet their mothers, and within a few weeks are packed into filthy, windowless sheds with thousands of other birds for the rest of their short lives.</w:t>
      </w:r>
      <w:hyperlink w:anchor="ref82" w:history="1">
        <w:r>
          <w:rPr>
            <w:b/>
            <w:bCs/>
            <w:color w:val="2E7D32"/>
            <w:vertAlign w:val="superscript"/>
          </w:rPr>
          <w:t>82</w:t>
        </w:r>
      </w:hyperlink>
      <w:r>
        <w:t xml:space="preserve"> Like meat chickens, they have been selectively bred and genetically manipulated to grow so large so fast that many become crippled under their own weight or die of heart failure before reaching slaughter age.</w:t>
      </w:r>
      <w:hyperlink w:anchor="ref83" w:history="1">
        <w:r>
          <w:rPr>
            <w:b/>
            <w:bCs/>
            <w:color w:val="2E7D32"/>
            <w:vertAlign w:val="superscript"/>
          </w:rPr>
          <w:t>83</w:t>
        </w:r>
      </w:hyperlink>
    </w:p>
    <w:p w14:paraId="354BE0D6" w14:textId="77777777" w:rsidR="00421FEF" w:rsidRDefault="006976E9">
      <w:pPr>
        <w:pStyle w:val="ListParagraph"/>
        <w:numPr>
          <w:ilvl w:val="0"/>
          <w:numId w:val="2"/>
        </w:numPr>
        <w:spacing w:after="150" w:line="276" w:lineRule="auto"/>
      </w:pPr>
      <w:r>
        <w:rPr>
          <w:b/>
          <w:bCs/>
        </w:rPr>
        <w:lastRenderedPageBreak/>
        <w:t xml:space="preserve">Dairy cows — calves taken at birth. </w:t>
      </w:r>
      <w:r>
        <w:t>In Australia, the standard practice is to separate calves from their mothers within the first few hours of birth, on grounds of biosecurity and disease prevention.</w:t>
      </w:r>
      <w:hyperlink w:anchor="ref84" w:history="1">
        <w:r>
          <w:rPr>
            <w:b/>
            <w:bCs/>
            <w:color w:val="2E7D32"/>
            <w:vertAlign w:val="superscript"/>
          </w:rPr>
          <w:t>84</w:t>
        </w:r>
      </w:hyperlink>
      <w:r>
        <w:t xml:space="preserve"> Worldwide, 97% of newborn dairy calves are forcibly removed from their mothers within the first 24 hours.</w:t>
      </w:r>
      <w:hyperlink w:anchor="ref85" w:history="1">
        <w:r>
          <w:rPr>
            <w:b/>
            <w:bCs/>
            <w:color w:val="2E7D32"/>
            <w:vertAlign w:val="superscript"/>
          </w:rPr>
          <w:t>85</w:t>
        </w:r>
      </w:hyperlink>
      <w:r>
        <w:t xml:space="preserve"> Because a cow only produces milk after giving birth, dairy cows are kept almost continually pregnant throughout their productive lives — and male calves, of no value to the dairy industry, are typically slaughtered within their first week.</w:t>
      </w:r>
      <w:hyperlink w:anchor="ref86" w:history="1">
        <w:r>
          <w:rPr>
            <w:b/>
            <w:bCs/>
            <w:color w:val="2E7D32"/>
            <w:vertAlign w:val="superscript"/>
          </w:rPr>
          <w:t>86</w:t>
        </w:r>
      </w:hyperlink>
    </w:p>
    <w:p w14:paraId="354BE0D7" w14:textId="77777777" w:rsidR="00421FEF" w:rsidRDefault="006976E9">
      <w:pPr>
        <w:spacing w:before="140" w:after="200"/>
        <w:jc w:val="center"/>
      </w:pPr>
      <w:r>
        <w:rPr>
          <w:noProof/>
        </w:rPr>
        <w:drawing>
          <wp:inline distT="0" distB="0" distL="0" distR="0" wp14:anchorId="354BE15C" wp14:editId="46FCC8E0">
            <wp:extent cx="5124450" cy="3330893"/>
            <wp:effectExtent l="0" t="0" r="0" b="0"/>
            <wp:docPr id="1052248165" name="chart_factory.png" descr="chart_factory.png" title="chart_factor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6"/>
                    <a:srcRect/>
                    <a:stretch>
                      <a:fillRect/>
                    </a:stretch>
                  </pic:blipFill>
                  <pic:spPr bwMode="auto">
                    <a:xfrm>
                      <a:off x="0" y="0"/>
                      <a:ext cx="5127620" cy="3332953"/>
                    </a:xfrm>
                    <a:prstGeom prst="rect">
                      <a:avLst/>
                    </a:prstGeom>
                  </pic:spPr>
                </pic:pic>
              </a:graphicData>
            </a:graphic>
          </wp:inline>
        </w:drawing>
      </w:r>
    </w:p>
    <w:p w14:paraId="354BE0D8" w14:textId="77777777" w:rsidR="00421FEF" w:rsidRDefault="006976E9">
      <w:pPr>
        <w:spacing w:before="260" w:after="80"/>
      </w:pPr>
      <w:r>
        <w:rPr>
          <w:rFonts w:ascii="Georgia" w:eastAsia="Georgia" w:hAnsi="Georgia" w:cs="Georgia"/>
          <w:b/>
          <w:bCs/>
          <w:color w:val="1B5E20"/>
          <w:sz w:val="27"/>
          <w:szCs w:val="27"/>
        </w:rPr>
        <w:t>Fish Feel Pain Too</w:t>
      </w:r>
    </w:p>
    <w:p w14:paraId="354BE0D9" w14:textId="77777777" w:rsidR="00421FEF" w:rsidRDefault="006976E9">
      <w:pPr>
        <w:spacing w:after="160" w:line="276" w:lineRule="auto"/>
      </w:pPr>
      <w:r>
        <w:t>It is easy to leave fish out of the picture, but the science says we should not. Every piece of seafood comes at a cost that science can no longer ignore:</w:t>
      </w:r>
    </w:p>
    <w:p w14:paraId="354BE0DA" w14:textId="77777777" w:rsidR="00421FEF" w:rsidRDefault="006976E9">
      <w:pPr>
        <w:pStyle w:val="ListParagraph"/>
        <w:numPr>
          <w:ilvl w:val="0"/>
          <w:numId w:val="2"/>
        </w:numPr>
        <w:spacing w:after="150" w:line="276" w:lineRule="auto"/>
      </w:pPr>
      <w:r>
        <w:rPr>
          <w:b/>
          <w:bCs/>
        </w:rPr>
        <w:t xml:space="preserve">Fish are sentient and can suffer. </w:t>
      </w:r>
      <w:r>
        <w:t xml:space="preserve">A landmark review published in </w:t>
      </w:r>
      <w:r>
        <w:rPr>
          <w:i/>
          <w:iCs/>
        </w:rPr>
        <w:t>Animal Sentience</w:t>
      </w:r>
      <w:r>
        <w:t xml:space="preserve"> concluded that there is substantial empirical evidence that fish experience pain (nociception) and likely have conscious experiences of it. Work by Professor Lynne Sneddon documented pain receptors in fish, along with behaviour consistent with genuine suffering.</w:t>
      </w:r>
      <w:hyperlink w:anchor="ref87" w:history="1">
        <w:r>
          <w:rPr>
            <w:b/>
            <w:bCs/>
            <w:color w:val="2E7D32"/>
            <w:vertAlign w:val="superscript"/>
          </w:rPr>
          <w:t>87</w:t>
        </w:r>
      </w:hyperlink>
    </w:p>
    <w:p w14:paraId="354BE0DB" w14:textId="77777777" w:rsidR="00421FEF" w:rsidRDefault="006976E9">
      <w:pPr>
        <w:pStyle w:val="ListParagraph"/>
        <w:numPr>
          <w:ilvl w:val="0"/>
          <w:numId w:val="2"/>
        </w:numPr>
        <w:spacing w:after="150" w:line="276" w:lineRule="auto"/>
      </w:pPr>
      <w:r>
        <w:rPr>
          <w:b/>
          <w:bCs/>
        </w:rPr>
        <w:t xml:space="preserve">Hooks cause real pain and injury. </w:t>
      </w:r>
      <w:r>
        <w:t>Among fish thrown back after catch-and-release fishing, a meaningful proportion die from their injuries or from physiological stress, and some survivors are left with impaired sensory function. The harm done by hook fishing is well documented across many species and fishing contexts.</w:t>
      </w:r>
      <w:hyperlink w:anchor="ref88" w:history="1">
        <w:r>
          <w:rPr>
            <w:b/>
            <w:bCs/>
            <w:color w:val="2E7D32"/>
            <w:vertAlign w:val="superscript"/>
          </w:rPr>
          <w:t>88</w:t>
        </w:r>
      </w:hyperlink>
    </w:p>
    <w:p w14:paraId="354BE0DC" w14:textId="77777777" w:rsidR="00421FEF" w:rsidRDefault="006976E9">
      <w:pPr>
        <w:pStyle w:val="ListParagraph"/>
        <w:numPr>
          <w:ilvl w:val="0"/>
          <w:numId w:val="2"/>
        </w:numPr>
        <w:spacing w:after="150" w:line="276" w:lineRule="auto"/>
      </w:pPr>
      <w:r>
        <w:rPr>
          <w:b/>
          <w:bCs/>
        </w:rPr>
        <w:t xml:space="preserve">Deep-water fish suffer barotrauma. </w:t>
      </w:r>
      <w:r>
        <w:t>These are catastrophic internal injuries caused by the rapid pressure change as fish are hauled up to the surface. Despite all this, fish have long been excluded from animal-welfare laws in most countries, based on outdated assumptions about their capacity for suffering — assumptions that a growing body of peer-reviewed science has now firmly overturned.</w:t>
      </w:r>
      <w:hyperlink w:anchor="ref89" w:history="1">
        <w:r>
          <w:rPr>
            <w:b/>
            <w:bCs/>
            <w:color w:val="2E7D32"/>
            <w:vertAlign w:val="superscript"/>
          </w:rPr>
          <w:t>89</w:t>
        </w:r>
      </w:hyperlink>
    </w:p>
    <w:p w14:paraId="354BE0DD" w14:textId="77777777" w:rsidR="00421FEF" w:rsidRDefault="006976E9">
      <w:pPr>
        <w:pageBreakBefore/>
        <w:spacing w:before="140" w:after="40"/>
        <w:jc w:val="center"/>
      </w:pPr>
      <w:r>
        <w:rPr>
          <w:rFonts w:ascii="Georgia" w:eastAsia="Georgia" w:hAnsi="Georgia" w:cs="Georgia"/>
          <w:b/>
          <w:bCs/>
          <w:color w:val="1B5E20"/>
          <w:sz w:val="32"/>
          <w:szCs w:val="32"/>
        </w:rPr>
        <w:lastRenderedPageBreak/>
        <w:t>Closing: The Choice That Changes Everything</w:t>
      </w:r>
    </w:p>
    <w:p w14:paraId="354BE0DE" w14:textId="77777777" w:rsidR="00421FEF" w:rsidRDefault="006976E9">
      <w:pPr>
        <w:spacing w:before="40" w:after="180"/>
        <w:jc w:val="center"/>
      </w:pPr>
      <w:r>
        <w:rPr>
          <w:noProof/>
        </w:rPr>
        <w:drawing>
          <wp:inline distT="0" distB="0" distL="0" distR="0" wp14:anchorId="354BE15E" wp14:editId="354BE15F">
            <wp:extent cx="2000250" cy="285750"/>
            <wp:effectExtent l="0" t="0" r="0" b="0"/>
            <wp:docPr id="2113408647" name="leaf_divider.png" descr="leaf_divider.png" title="leaf_divi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8"/>
                    <a:srcRect/>
                    <a:stretch>
                      <a:fillRect/>
                    </a:stretch>
                  </pic:blipFill>
                  <pic:spPr bwMode="auto">
                    <a:xfrm>
                      <a:off x="0" y="0"/>
                      <a:ext cx="2000250" cy="285750"/>
                    </a:xfrm>
                    <a:prstGeom prst="rect">
                      <a:avLst/>
                    </a:prstGeom>
                  </pic:spPr>
                </pic:pic>
              </a:graphicData>
            </a:graphic>
          </wp:inline>
        </w:drawing>
      </w:r>
    </w:p>
    <w:p w14:paraId="354BE0DF" w14:textId="77777777" w:rsidR="00421FEF" w:rsidRDefault="006976E9">
      <w:pPr>
        <w:spacing w:after="150" w:line="290" w:lineRule="auto"/>
      </w:pPr>
      <w:r>
        <w:rPr>
          <w:b/>
          <w:bCs/>
          <w:color w:val="1B5E20"/>
        </w:rPr>
        <w:t>Love your health</w:t>
      </w:r>
      <w:r>
        <w:t xml:space="preserve"> — because a plant-based diet protects your heart, reduces cancer risk, and gives your body what it was always meant to thrive on.</w:t>
      </w:r>
    </w:p>
    <w:p w14:paraId="354BE0E0" w14:textId="0C65A8FA" w:rsidR="00421FEF" w:rsidRDefault="000C4D9B">
      <w:pPr>
        <w:spacing w:after="150" w:line="290" w:lineRule="auto"/>
      </w:pPr>
      <w:r>
        <w:rPr>
          <w:b/>
          <w:bCs/>
          <w:color w:val="1B5E20"/>
        </w:rPr>
        <w:t>Love our Earth</w:t>
      </w:r>
      <w:r w:rsidR="006976E9">
        <w:t xml:space="preserve"> — because the rainforests, water cycles, and biodiversity that sustain all life need us to eat differently, and the science shows individual dietary choices scale into enormous collective impact.</w:t>
      </w:r>
    </w:p>
    <w:p w14:paraId="354BE0E1" w14:textId="77777777" w:rsidR="00421FEF" w:rsidRDefault="006976E9">
      <w:pPr>
        <w:spacing w:after="220" w:line="290" w:lineRule="auto"/>
      </w:pPr>
      <w:r>
        <w:rPr>
          <w:b/>
          <w:bCs/>
          <w:color w:val="1B5E20"/>
        </w:rPr>
        <w:t>Love animals</w:t>
      </w:r>
      <w:r>
        <w:t xml:space="preserve"> — because they feel, because they suffer, and because if we saw what is done to them in our name, most of us would say: not like this, not for me, not anymore.</w:t>
      </w:r>
    </w:p>
    <w:p w14:paraId="354BE0E2" w14:textId="77777777" w:rsidR="00421FEF" w:rsidRDefault="006976E9">
      <w:pPr>
        <w:spacing w:before="60" w:after="60"/>
        <w:jc w:val="center"/>
      </w:pPr>
      <w:r>
        <w:rPr>
          <w:rFonts w:ascii="Georgia" w:eastAsia="Georgia" w:hAnsi="Georgia" w:cs="Georgia"/>
          <w:b/>
          <w:bCs/>
          <w:color w:val="1B5E20"/>
          <w:sz w:val="26"/>
          <w:szCs w:val="26"/>
        </w:rPr>
        <w:t>Every meal is a choice. Every choice is a vote for the world you want to live in. Go vegan.</w:t>
      </w:r>
    </w:p>
    <w:p w14:paraId="354BE0E4" w14:textId="546E0CA7" w:rsidR="00421FEF" w:rsidRDefault="006976E9" w:rsidP="00B87395">
      <w:pPr>
        <w:spacing w:before="180" w:after="120"/>
        <w:jc w:val="center"/>
      </w:pPr>
      <w:r>
        <w:rPr>
          <w:noProof/>
        </w:rPr>
        <w:drawing>
          <wp:inline distT="0" distB="0" distL="0" distR="0" wp14:anchorId="354BE160" wp14:editId="354BE161">
            <wp:extent cx="2000250" cy="285750"/>
            <wp:effectExtent l="0" t="0" r="0" b="0"/>
            <wp:docPr id="1908535240" name="leaf_divider.png" descr="leaf_divider.png" title="leaf_divi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8"/>
                    <a:srcRect/>
                    <a:stretch>
                      <a:fillRect/>
                    </a:stretch>
                  </pic:blipFill>
                  <pic:spPr bwMode="auto">
                    <a:xfrm>
                      <a:off x="0" y="0"/>
                      <a:ext cx="2000250" cy="285750"/>
                    </a:xfrm>
                    <a:prstGeom prst="rect">
                      <a:avLst/>
                    </a:prstGeom>
                  </pic:spPr>
                </pic:pic>
              </a:graphicData>
            </a:graphic>
          </wp:inline>
        </w:drawing>
      </w:r>
    </w:p>
    <w:p w14:paraId="086A4F27" w14:textId="3CA66F24" w:rsidR="000E1F26" w:rsidRDefault="000E1F26" w:rsidP="00B87395">
      <w:pPr>
        <w:spacing w:before="180" w:after="120"/>
        <w:jc w:val="center"/>
      </w:pPr>
      <w:r>
        <w:rPr>
          <w:noProof/>
        </w:rPr>
        <w:drawing>
          <wp:inline distT="0" distB="0" distL="0" distR="0" wp14:anchorId="18CAF0F2" wp14:editId="6AB32233">
            <wp:extent cx="2800350" cy="2800350"/>
            <wp:effectExtent l="0" t="0" r="0" b="0"/>
            <wp:docPr id="131779221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800350" cy="2800350"/>
                    </a:xfrm>
                    <a:prstGeom prst="rect">
                      <a:avLst/>
                    </a:prstGeom>
                    <a:noFill/>
                    <a:ln>
                      <a:noFill/>
                    </a:ln>
                  </pic:spPr>
                </pic:pic>
              </a:graphicData>
            </a:graphic>
          </wp:inline>
        </w:drawing>
      </w:r>
    </w:p>
    <w:p w14:paraId="354BE0E5" w14:textId="77777777" w:rsidR="00421FEF" w:rsidRDefault="006976E9">
      <w:pPr>
        <w:spacing w:after="24"/>
        <w:jc w:val="center"/>
      </w:pPr>
      <w:r>
        <w:rPr>
          <w:rFonts w:ascii="Georgia" w:eastAsia="Georgia" w:hAnsi="Georgia" w:cs="Georgia"/>
          <w:i/>
          <w:iCs/>
          <w:color w:val="3F6B2E"/>
          <w:sz w:val="21"/>
          <w:szCs w:val="21"/>
        </w:rPr>
        <w:t>Vegan for a healthier you, a kinder planet, and a compassionate world</w:t>
      </w:r>
    </w:p>
    <w:p w14:paraId="354BE0E6" w14:textId="77777777" w:rsidR="00421FEF" w:rsidRDefault="006976E9">
      <w:pPr>
        <w:jc w:val="center"/>
      </w:pPr>
      <w:r>
        <w:rPr>
          <w:b/>
          <w:bCs/>
          <w:color w:val="1B5E20"/>
          <w:sz w:val="24"/>
          <w:szCs w:val="24"/>
        </w:rPr>
        <w:t>loveourearth.com.au</w:t>
      </w:r>
    </w:p>
    <w:p w14:paraId="4F448AFE" w14:textId="77777777" w:rsidR="009F6405" w:rsidRDefault="009F6405" w:rsidP="009F6405"/>
    <w:p w14:paraId="56B5650D" w14:textId="77777777" w:rsidR="009F6405" w:rsidRDefault="009F6405" w:rsidP="009F6405"/>
    <w:p w14:paraId="7EF575E4" w14:textId="77777777" w:rsidR="009F6405" w:rsidRDefault="009F6405" w:rsidP="009F6405"/>
    <w:p w14:paraId="2D86F6D3" w14:textId="77777777" w:rsidR="009F6405" w:rsidRDefault="009F6405" w:rsidP="009F6405"/>
    <w:p w14:paraId="00B51110" w14:textId="77777777" w:rsidR="009F6405" w:rsidRDefault="009F6405" w:rsidP="009F6405"/>
    <w:p w14:paraId="1615CCAC" w14:textId="77777777" w:rsidR="009F6405" w:rsidRDefault="009F6405" w:rsidP="009F6405"/>
    <w:p w14:paraId="54A0A496" w14:textId="77777777" w:rsidR="009F6405" w:rsidRDefault="009F6405" w:rsidP="009F6405"/>
    <w:p w14:paraId="5A6DA76E" w14:textId="77777777" w:rsidR="009F6405" w:rsidRDefault="009F6405" w:rsidP="009F6405"/>
    <w:p w14:paraId="5DDFDE1E" w14:textId="77777777" w:rsidR="009F6405" w:rsidRDefault="009F6405" w:rsidP="009F6405"/>
    <w:p w14:paraId="212E8A77" w14:textId="77777777" w:rsidR="009F6405" w:rsidRDefault="009F6405" w:rsidP="009F6405"/>
    <w:p w14:paraId="354BE0E7" w14:textId="5D59AF22" w:rsidR="00421FEF" w:rsidRPr="009F6405" w:rsidRDefault="006976E9" w:rsidP="009F6405">
      <w:pPr>
        <w:rPr>
          <w:rFonts w:ascii="Georgia" w:hAnsi="Georgia"/>
          <w:b/>
          <w:bCs/>
          <w:color w:val="1B5E20"/>
          <w:sz w:val="32"/>
          <w:szCs w:val="32"/>
        </w:rPr>
      </w:pPr>
      <w:r w:rsidRPr="009F6405">
        <w:rPr>
          <w:rFonts w:ascii="Georgia" w:hAnsi="Georgia"/>
          <w:b/>
          <w:bCs/>
          <w:color w:val="1B5E20"/>
          <w:sz w:val="32"/>
          <w:szCs w:val="32"/>
        </w:rPr>
        <w:lastRenderedPageBreak/>
        <w:t>References</w:t>
      </w:r>
    </w:p>
    <w:p w14:paraId="354BE0E8" w14:textId="77777777" w:rsidR="00421FEF" w:rsidRDefault="006976E9">
      <w:pPr>
        <w:spacing w:after="200"/>
      </w:pPr>
      <w:r>
        <w:rPr>
          <w:i/>
          <w:iCs/>
          <w:color w:val="7A7A7A"/>
          <w:sz w:val="18"/>
          <w:szCs w:val="18"/>
        </w:rPr>
        <w:t>Sources are numbered in the order they appear in the document.</w:t>
      </w:r>
    </w:p>
    <w:p w14:paraId="354BE0E9" w14:textId="77777777" w:rsidR="00421FEF" w:rsidRDefault="006976E9">
      <w:pPr>
        <w:spacing w:after="60" w:line="252" w:lineRule="auto"/>
        <w:ind w:left="510" w:hanging="510"/>
      </w:pPr>
      <w:bookmarkStart w:id="0" w:name="ref1"/>
      <w:r>
        <w:rPr>
          <w:b/>
          <w:bCs/>
          <w:color w:val="1B5E20"/>
          <w:sz w:val="20"/>
          <w:szCs w:val="20"/>
        </w:rPr>
        <w:t xml:space="preserve">1. </w:t>
      </w:r>
      <w:bookmarkEnd w:id="0"/>
      <w:r>
        <w:fldChar w:fldCharType="begin"/>
      </w:r>
      <w:r>
        <w:instrText>HYPERLINK "https://www.eatrightpro.org/news-center/research-briefs/new-position-paper-on-vegetarian-and-vegan-diets"</w:instrText>
      </w:r>
      <w:r>
        <w:fldChar w:fldCharType="separate"/>
      </w:r>
      <w:r>
        <w:rPr>
          <w:color w:val="1A5FB4"/>
          <w:sz w:val="18"/>
          <w:szCs w:val="18"/>
          <w:u w:val="single"/>
        </w:rPr>
        <w:t>https://www.eatrightpro.org/news-center/research-briefs/new-position-paper-on-vegetarian-and-vegan-diets</w:t>
      </w:r>
      <w:r>
        <w:fldChar w:fldCharType="end"/>
      </w:r>
    </w:p>
    <w:p w14:paraId="354BE0EA" w14:textId="77777777" w:rsidR="00421FEF" w:rsidRDefault="006976E9">
      <w:pPr>
        <w:spacing w:after="60" w:line="252" w:lineRule="auto"/>
        <w:ind w:left="510" w:hanging="510"/>
      </w:pPr>
      <w:bookmarkStart w:id="1" w:name="ref2"/>
      <w:r>
        <w:rPr>
          <w:b/>
          <w:bCs/>
          <w:color w:val="1B5E20"/>
          <w:sz w:val="20"/>
          <w:szCs w:val="20"/>
        </w:rPr>
        <w:t xml:space="preserve">2. </w:t>
      </w:r>
      <w:bookmarkEnd w:id="1"/>
      <w:r>
        <w:fldChar w:fldCharType="begin"/>
      </w:r>
      <w:r>
        <w:instrText>HYPERLINK "https://www.scribd.com/document/945539044/12937-2023-Article-877"</w:instrText>
      </w:r>
      <w:r>
        <w:fldChar w:fldCharType="separate"/>
      </w:r>
      <w:r>
        <w:rPr>
          <w:color w:val="1A5FB4"/>
          <w:sz w:val="18"/>
          <w:szCs w:val="18"/>
          <w:u w:val="single"/>
        </w:rPr>
        <w:t>https://www.scribd.com/document/945539044/12937-2023-Article-877</w:t>
      </w:r>
      <w:r>
        <w:fldChar w:fldCharType="end"/>
      </w:r>
    </w:p>
    <w:p w14:paraId="354BE0EB" w14:textId="77777777" w:rsidR="00421FEF" w:rsidRDefault="006976E9">
      <w:pPr>
        <w:spacing w:after="60" w:line="252" w:lineRule="auto"/>
        <w:ind w:left="510" w:hanging="510"/>
      </w:pPr>
      <w:bookmarkStart w:id="2" w:name="ref3"/>
      <w:r>
        <w:rPr>
          <w:b/>
          <w:bCs/>
          <w:color w:val="1B5E20"/>
          <w:sz w:val="20"/>
          <w:szCs w:val="20"/>
        </w:rPr>
        <w:t xml:space="preserve">3. </w:t>
      </w:r>
      <w:bookmarkEnd w:id="2"/>
      <w:r>
        <w:fldChar w:fldCharType="begin"/>
      </w:r>
      <w:r>
        <w:instrText>HYPERLINK "https://news.sky.com/story/planet-friendly-diet-could-reduce-risk-of-death-from-chronic-illness-by-25-study-finds-12926098"</w:instrText>
      </w:r>
      <w:r>
        <w:fldChar w:fldCharType="separate"/>
      </w:r>
      <w:r>
        <w:rPr>
          <w:color w:val="1A5FB4"/>
          <w:sz w:val="18"/>
          <w:szCs w:val="18"/>
          <w:u w:val="single"/>
        </w:rPr>
        <w:t>https://news.sky.com/story/planet-friendly-diet-could-reduce-risk-of-death-from-chronic-illness-by-25-study-finds-12926098</w:t>
      </w:r>
      <w:r>
        <w:fldChar w:fldCharType="end"/>
      </w:r>
    </w:p>
    <w:p w14:paraId="354BE0EC" w14:textId="77777777" w:rsidR="00421FEF" w:rsidRDefault="006976E9">
      <w:pPr>
        <w:spacing w:after="60" w:line="252" w:lineRule="auto"/>
        <w:ind w:left="510" w:hanging="510"/>
      </w:pPr>
      <w:bookmarkStart w:id="3" w:name="ref4"/>
      <w:r>
        <w:rPr>
          <w:b/>
          <w:bCs/>
          <w:color w:val="1B5E20"/>
          <w:sz w:val="20"/>
          <w:szCs w:val="20"/>
        </w:rPr>
        <w:t xml:space="preserve">4. </w:t>
      </w:r>
      <w:bookmarkEnd w:id="3"/>
      <w:r>
        <w:fldChar w:fldCharType="begin"/>
      </w:r>
      <w:r>
        <w:instrText>HYPERLINK "https://pmc.ncbi.nlm.nih.gov/articles/PMC10548188/"</w:instrText>
      </w:r>
      <w:r>
        <w:fldChar w:fldCharType="separate"/>
      </w:r>
      <w:r>
        <w:rPr>
          <w:color w:val="1A5FB4"/>
          <w:sz w:val="18"/>
          <w:szCs w:val="18"/>
          <w:u w:val="single"/>
        </w:rPr>
        <w:t>https://pmc.ncbi.nlm.nih.gov/articles/PMC10548188/</w:t>
      </w:r>
      <w:r>
        <w:fldChar w:fldCharType="end"/>
      </w:r>
    </w:p>
    <w:p w14:paraId="354BE0ED" w14:textId="77777777" w:rsidR="00421FEF" w:rsidRDefault="006976E9">
      <w:pPr>
        <w:spacing w:after="60" w:line="252" w:lineRule="auto"/>
        <w:ind w:left="510" w:hanging="510"/>
      </w:pPr>
      <w:bookmarkStart w:id="4" w:name="ref5"/>
      <w:r>
        <w:rPr>
          <w:b/>
          <w:bCs/>
          <w:color w:val="1B5E20"/>
          <w:sz w:val="20"/>
          <w:szCs w:val="20"/>
        </w:rPr>
        <w:t xml:space="preserve">5. </w:t>
      </w:r>
      <w:bookmarkEnd w:id="4"/>
      <w:r>
        <w:fldChar w:fldCharType="begin"/>
      </w:r>
      <w:r>
        <w:instrText>HYPERLINK "https://pubmed.ncbi.nlm.nih.gov/27512965/"</w:instrText>
      </w:r>
      <w:r>
        <w:fldChar w:fldCharType="separate"/>
      </w:r>
      <w:r>
        <w:rPr>
          <w:color w:val="1A5FB4"/>
          <w:sz w:val="18"/>
          <w:szCs w:val="18"/>
          <w:u w:val="single"/>
        </w:rPr>
        <w:t>https://pubmed.ncbi.nlm.nih.gov/27512965/</w:t>
      </w:r>
      <w:r>
        <w:fldChar w:fldCharType="end"/>
      </w:r>
    </w:p>
    <w:p w14:paraId="354BE0EE" w14:textId="77777777" w:rsidR="00421FEF" w:rsidRDefault="006976E9">
      <w:pPr>
        <w:spacing w:after="60" w:line="252" w:lineRule="auto"/>
        <w:ind w:left="510" w:hanging="510"/>
      </w:pPr>
      <w:bookmarkStart w:id="5" w:name="ref6"/>
      <w:r>
        <w:rPr>
          <w:b/>
          <w:bCs/>
          <w:color w:val="1B5E20"/>
          <w:sz w:val="20"/>
          <w:szCs w:val="20"/>
        </w:rPr>
        <w:t xml:space="preserve">6. </w:t>
      </w:r>
      <w:bookmarkEnd w:id="5"/>
      <w:r>
        <w:fldChar w:fldCharType="begin"/>
      </w:r>
      <w:r>
        <w:instrText>HYPERLINK "https://www.wcrf.org/about-us/news-and-blogs/largest-ever-study-of-vegetarian-diets-and-cancer-shows-lower-risk-of-5-cancers/"</w:instrText>
      </w:r>
      <w:r>
        <w:fldChar w:fldCharType="separate"/>
      </w:r>
      <w:r>
        <w:rPr>
          <w:color w:val="1A5FB4"/>
          <w:sz w:val="18"/>
          <w:szCs w:val="18"/>
          <w:u w:val="single"/>
        </w:rPr>
        <w:t>https://www.wcrf.org/about-us/news-and-blogs/largest-ever-study-of-vegetarian-diets-and-cancer-shows-lower-risk-of-5-cancers/</w:t>
      </w:r>
      <w:r>
        <w:fldChar w:fldCharType="end"/>
      </w:r>
    </w:p>
    <w:p w14:paraId="354BE0EF" w14:textId="77777777" w:rsidR="00421FEF" w:rsidRDefault="006976E9">
      <w:pPr>
        <w:spacing w:after="60" w:line="252" w:lineRule="auto"/>
        <w:ind w:left="510" w:hanging="510"/>
      </w:pPr>
      <w:bookmarkStart w:id="6" w:name="ref7"/>
      <w:r>
        <w:rPr>
          <w:b/>
          <w:bCs/>
          <w:color w:val="1B5E20"/>
          <w:sz w:val="20"/>
          <w:szCs w:val="20"/>
        </w:rPr>
        <w:t xml:space="preserve">7. </w:t>
      </w:r>
      <w:bookmarkEnd w:id="6"/>
      <w:r>
        <w:fldChar w:fldCharType="begin"/>
      </w:r>
      <w:r>
        <w:instrText>HYPERLINK "https://www.medsci.ox.ac.uk/news/largest-study-of-vegetarian-diets-and-cancer-shows-lower-risk-of-five-cancers"</w:instrText>
      </w:r>
      <w:r>
        <w:fldChar w:fldCharType="separate"/>
      </w:r>
      <w:r>
        <w:rPr>
          <w:color w:val="1A5FB4"/>
          <w:sz w:val="18"/>
          <w:szCs w:val="18"/>
          <w:u w:val="single"/>
        </w:rPr>
        <w:t>https://www.medsci.ox.ac.uk/news/largest-study-of-vegetarian-diets-and-cancer-shows-lower-risk-of-five-cancers</w:t>
      </w:r>
      <w:r>
        <w:fldChar w:fldCharType="end"/>
      </w:r>
    </w:p>
    <w:p w14:paraId="354BE0F0" w14:textId="77777777" w:rsidR="00421FEF" w:rsidRDefault="006976E9">
      <w:pPr>
        <w:spacing w:after="60" w:line="252" w:lineRule="auto"/>
        <w:ind w:left="510" w:hanging="510"/>
      </w:pPr>
      <w:bookmarkStart w:id="7" w:name="ref8"/>
      <w:r>
        <w:rPr>
          <w:b/>
          <w:bCs/>
          <w:color w:val="1B5E20"/>
          <w:sz w:val="20"/>
          <w:szCs w:val="20"/>
        </w:rPr>
        <w:t xml:space="preserve">8. </w:t>
      </w:r>
      <w:bookmarkEnd w:id="7"/>
      <w:r>
        <w:fldChar w:fldCharType="begin"/>
      </w:r>
      <w:r>
        <w:instrText>HYPERLINK "https://jamanetwork.com/journals/jamanetworkopen/fullarticle/2802814"</w:instrText>
      </w:r>
      <w:r>
        <w:fldChar w:fldCharType="separate"/>
      </w:r>
      <w:r>
        <w:rPr>
          <w:color w:val="1A5FB4"/>
          <w:sz w:val="18"/>
          <w:szCs w:val="18"/>
          <w:u w:val="single"/>
        </w:rPr>
        <w:t>https://jamanetwork.com/journals/jamanetworkopen/fullarticle/2802814</w:t>
      </w:r>
      <w:r>
        <w:fldChar w:fldCharType="end"/>
      </w:r>
    </w:p>
    <w:p w14:paraId="354BE0F1" w14:textId="77777777" w:rsidR="00421FEF" w:rsidRDefault="006976E9">
      <w:pPr>
        <w:spacing w:after="60" w:line="252" w:lineRule="auto"/>
        <w:ind w:left="510" w:hanging="510"/>
      </w:pPr>
      <w:bookmarkStart w:id="8" w:name="ref9"/>
      <w:r>
        <w:rPr>
          <w:b/>
          <w:bCs/>
          <w:color w:val="1B5E20"/>
          <w:sz w:val="20"/>
          <w:szCs w:val="20"/>
        </w:rPr>
        <w:t xml:space="preserve">9. </w:t>
      </w:r>
      <w:bookmarkEnd w:id="8"/>
      <w:r>
        <w:fldChar w:fldCharType="begin"/>
      </w:r>
      <w:r>
        <w:instrText>HYPERLINK "https://www.who.int/news-room/questions-and-answers/item/cancer-carcinogenicity-of-the-consumption-of-red-meat-and-processed-meat"</w:instrText>
      </w:r>
      <w:r>
        <w:fldChar w:fldCharType="separate"/>
      </w:r>
      <w:r>
        <w:rPr>
          <w:color w:val="1A5FB4"/>
          <w:sz w:val="18"/>
          <w:szCs w:val="18"/>
          <w:u w:val="single"/>
        </w:rPr>
        <w:t>https://www.who.int/news-room/questions-and-answers/item/cancer-carcinogenicity-of-the-consumption-of-red-meat-and-processed-meat</w:t>
      </w:r>
      <w:r>
        <w:fldChar w:fldCharType="end"/>
      </w:r>
    </w:p>
    <w:p w14:paraId="354BE0F2" w14:textId="77777777" w:rsidR="00421FEF" w:rsidRDefault="006976E9">
      <w:pPr>
        <w:spacing w:after="60" w:line="252" w:lineRule="auto"/>
        <w:ind w:left="510" w:hanging="510"/>
      </w:pPr>
      <w:bookmarkStart w:id="9" w:name="ref10"/>
      <w:r>
        <w:rPr>
          <w:b/>
          <w:bCs/>
          <w:color w:val="1B5E20"/>
          <w:sz w:val="20"/>
          <w:szCs w:val="20"/>
        </w:rPr>
        <w:t xml:space="preserve">10. </w:t>
      </w:r>
      <w:bookmarkEnd w:id="9"/>
      <w:r>
        <w:fldChar w:fldCharType="begin"/>
      </w:r>
      <w:r>
        <w:instrText>HYPERLINK "https://pmc.ncbi.nlm.nih.gov/articles/PMC7613518/"</w:instrText>
      </w:r>
      <w:r>
        <w:fldChar w:fldCharType="separate"/>
      </w:r>
      <w:r>
        <w:rPr>
          <w:color w:val="1A5FB4"/>
          <w:sz w:val="18"/>
          <w:szCs w:val="18"/>
          <w:u w:val="single"/>
        </w:rPr>
        <w:t>https://pmc.ncbi.nlm.nih.gov/articles/PMC7613518/</w:t>
      </w:r>
      <w:r>
        <w:fldChar w:fldCharType="end"/>
      </w:r>
    </w:p>
    <w:p w14:paraId="354BE0F3" w14:textId="77777777" w:rsidR="00421FEF" w:rsidRDefault="006976E9">
      <w:pPr>
        <w:spacing w:after="60" w:line="252" w:lineRule="auto"/>
        <w:ind w:left="510" w:hanging="510"/>
      </w:pPr>
      <w:bookmarkStart w:id="10" w:name="ref11"/>
      <w:r>
        <w:rPr>
          <w:b/>
          <w:bCs/>
          <w:color w:val="1B5E20"/>
          <w:sz w:val="20"/>
          <w:szCs w:val="20"/>
        </w:rPr>
        <w:t xml:space="preserve">11. </w:t>
      </w:r>
      <w:bookmarkEnd w:id="10"/>
      <w:r>
        <w:fldChar w:fldCharType="begin"/>
      </w:r>
      <w:r>
        <w:instrText>HYPERLINK "https://www.vrg.org/blog/2022/11/18/vegan-diets-and-long-term-health-what-weve-learned-from-the-epic-oxford-study/"</w:instrText>
      </w:r>
      <w:r>
        <w:fldChar w:fldCharType="separate"/>
      </w:r>
      <w:r>
        <w:rPr>
          <w:color w:val="1A5FB4"/>
          <w:sz w:val="18"/>
          <w:szCs w:val="18"/>
          <w:u w:val="single"/>
        </w:rPr>
        <w:t>https://www.vrg.org/blog/2022/11/18/vegan-diets-and-long-term-health-what-weve-learned-from-the-epic-oxford-study/</w:t>
      </w:r>
      <w:r>
        <w:fldChar w:fldCharType="end"/>
      </w:r>
    </w:p>
    <w:p w14:paraId="354BE0F4" w14:textId="77777777" w:rsidR="00421FEF" w:rsidRDefault="006976E9">
      <w:pPr>
        <w:spacing w:after="60" w:line="252" w:lineRule="auto"/>
        <w:ind w:left="510" w:hanging="510"/>
      </w:pPr>
      <w:bookmarkStart w:id="11" w:name="ref12"/>
      <w:r>
        <w:rPr>
          <w:b/>
          <w:bCs/>
          <w:color w:val="1B5E20"/>
          <w:sz w:val="20"/>
          <w:szCs w:val="20"/>
        </w:rPr>
        <w:t xml:space="preserve">12. </w:t>
      </w:r>
      <w:bookmarkEnd w:id="11"/>
      <w:r>
        <w:fldChar w:fldCharType="begin"/>
      </w:r>
      <w:r>
        <w:instrText>HYPERLINK "https://www.vegansociety.com/news/media/statistics/health"</w:instrText>
      </w:r>
      <w:r>
        <w:fldChar w:fldCharType="separate"/>
      </w:r>
      <w:r>
        <w:rPr>
          <w:color w:val="1A5FB4"/>
          <w:sz w:val="18"/>
          <w:szCs w:val="18"/>
          <w:u w:val="single"/>
        </w:rPr>
        <w:t>https://www.vegansociety.com/news/media/statistics/health</w:t>
      </w:r>
      <w:r>
        <w:fldChar w:fldCharType="end"/>
      </w:r>
    </w:p>
    <w:p w14:paraId="354BE0F5" w14:textId="77777777" w:rsidR="00421FEF" w:rsidRDefault="006976E9">
      <w:pPr>
        <w:spacing w:after="60" w:line="252" w:lineRule="auto"/>
        <w:ind w:left="510" w:hanging="510"/>
      </w:pPr>
      <w:bookmarkStart w:id="12" w:name="ref13"/>
      <w:r>
        <w:rPr>
          <w:b/>
          <w:bCs/>
          <w:color w:val="1B5E20"/>
          <w:sz w:val="20"/>
          <w:szCs w:val="20"/>
        </w:rPr>
        <w:t xml:space="preserve">13. </w:t>
      </w:r>
      <w:bookmarkEnd w:id="12"/>
      <w:r>
        <w:fldChar w:fldCharType="begin"/>
      </w:r>
      <w:r>
        <w:instrText>HYPERLINK "https://www.frontiersin.org/journals/nutrition/articles/10.3389/fnut.2025.1518519/full"</w:instrText>
      </w:r>
      <w:r>
        <w:fldChar w:fldCharType="separate"/>
      </w:r>
      <w:r>
        <w:rPr>
          <w:color w:val="1A5FB4"/>
          <w:sz w:val="18"/>
          <w:szCs w:val="18"/>
          <w:u w:val="single"/>
        </w:rPr>
        <w:t>https://www.frontiersin.org/journals/nutrition/articles/10.3389/fnut.2025.1518519/full</w:t>
      </w:r>
      <w:r>
        <w:fldChar w:fldCharType="end"/>
      </w:r>
    </w:p>
    <w:p w14:paraId="354BE0F6" w14:textId="77777777" w:rsidR="00421FEF" w:rsidRDefault="006976E9">
      <w:pPr>
        <w:spacing w:after="60" w:line="252" w:lineRule="auto"/>
        <w:ind w:left="510" w:hanging="510"/>
      </w:pPr>
      <w:bookmarkStart w:id="13" w:name="ref14"/>
      <w:r>
        <w:rPr>
          <w:b/>
          <w:bCs/>
          <w:color w:val="1B5E20"/>
          <w:sz w:val="20"/>
          <w:szCs w:val="20"/>
        </w:rPr>
        <w:t xml:space="preserve">14. </w:t>
      </w:r>
      <w:bookmarkEnd w:id="13"/>
      <w:r>
        <w:fldChar w:fldCharType="begin"/>
      </w:r>
      <w:r>
        <w:instrText>HYPERLINK "https://www.ohe.org/news/a-switch-to-vegan-diets-could-save-the-nhs-6-7-billion-per-year-new-research-reveals/"</w:instrText>
      </w:r>
      <w:r>
        <w:fldChar w:fldCharType="separate"/>
      </w:r>
      <w:r>
        <w:rPr>
          <w:color w:val="1A5FB4"/>
          <w:sz w:val="18"/>
          <w:szCs w:val="18"/>
          <w:u w:val="single"/>
        </w:rPr>
        <w:t>https://www.ohe.org/news/a-switch-to-vegan-diets-could-save-the-nhs-6-7-billion-per-year-new-research-reveals/</w:t>
      </w:r>
      <w:r>
        <w:fldChar w:fldCharType="end"/>
      </w:r>
    </w:p>
    <w:p w14:paraId="354BE0F7" w14:textId="77777777" w:rsidR="00421FEF" w:rsidRDefault="006976E9">
      <w:pPr>
        <w:spacing w:after="60" w:line="252" w:lineRule="auto"/>
        <w:ind w:left="510" w:hanging="510"/>
      </w:pPr>
      <w:bookmarkStart w:id="14" w:name="ref15"/>
      <w:r>
        <w:rPr>
          <w:b/>
          <w:bCs/>
          <w:color w:val="1B5E20"/>
          <w:sz w:val="20"/>
          <w:szCs w:val="20"/>
        </w:rPr>
        <w:t xml:space="preserve">15. </w:t>
      </w:r>
      <w:bookmarkEnd w:id="14"/>
      <w:r>
        <w:fldChar w:fldCharType="begin"/>
      </w:r>
      <w:r>
        <w:instrText>HYPERLINK "https://www.goodmeat.com.au/animal-health-welfare/hormone-use/"</w:instrText>
      </w:r>
      <w:r>
        <w:fldChar w:fldCharType="separate"/>
      </w:r>
      <w:r>
        <w:rPr>
          <w:color w:val="1A5FB4"/>
          <w:sz w:val="18"/>
          <w:szCs w:val="18"/>
          <w:u w:val="single"/>
        </w:rPr>
        <w:t>https://www.goodmeat.com.au/animal-health-welfare/hormone-use/</w:t>
      </w:r>
      <w:r>
        <w:fldChar w:fldCharType="end"/>
      </w:r>
    </w:p>
    <w:p w14:paraId="354BE0F8" w14:textId="77777777" w:rsidR="00421FEF" w:rsidRDefault="006976E9">
      <w:pPr>
        <w:spacing w:after="60" w:line="252" w:lineRule="auto"/>
        <w:ind w:left="510" w:hanging="510"/>
      </w:pPr>
      <w:bookmarkStart w:id="15" w:name="ref16"/>
      <w:r>
        <w:rPr>
          <w:b/>
          <w:bCs/>
          <w:color w:val="1B5E20"/>
          <w:sz w:val="20"/>
          <w:szCs w:val="20"/>
        </w:rPr>
        <w:t xml:space="preserve">16. </w:t>
      </w:r>
      <w:bookmarkEnd w:id="15"/>
      <w:r>
        <w:fldChar w:fldCharType="begin"/>
      </w:r>
      <w:r>
        <w:instrText>HYPERLINK "https://www.ncbi.nlm.nih.gov/pmc/articles/PMC12029767/"</w:instrText>
      </w:r>
      <w:r>
        <w:fldChar w:fldCharType="separate"/>
      </w:r>
      <w:r>
        <w:rPr>
          <w:color w:val="1A5FB4"/>
          <w:sz w:val="18"/>
          <w:szCs w:val="18"/>
          <w:u w:val="single"/>
        </w:rPr>
        <w:t>https://www.ncbi.nlm.nih.gov/pmc/articles/PMC12029767/</w:t>
      </w:r>
      <w:r>
        <w:fldChar w:fldCharType="end"/>
      </w:r>
    </w:p>
    <w:p w14:paraId="354BE0F9" w14:textId="77777777" w:rsidR="00421FEF" w:rsidRDefault="006976E9">
      <w:pPr>
        <w:spacing w:after="60" w:line="252" w:lineRule="auto"/>
        <w:ind w:left="510" w:hanging="510"/>
      </w:pPr>
      <w:bookmarkStart w:id="16" w:name="ref17"/>
      <w:r>
        <w:rPr>
          <w:b/>
          <w:bCs/>
          <w:color w:val="1B5E20"/>
          <w:sz w:val="20"/>
          <w:szCs w:val="20"/>
        </w:rPr>
        <w:t xml:space="preserve">17. </w:t>
      </w:r>
      <w:bookmarkEnd w:id="16"/>
      <w:r>
        <w:fldChar w:fldCharType="begin"/>
      </w:r>
      <w:r>
        <w:instrText>HYPERLINK "https://www.who.int/news-room/fact-sheets/detail/antimicrobial-resistance"</w:instrText>
      </w:r>
      <w:r>
        <w:fldChar w:fldCharType="separate"/>
      </w:r>
      <w:r>
        <w:rPr>
          <w:color w:val="1A5FB4"/>
          <w:sz w:val="18"/>
          <w:szCs w:val="18"/>
          <w:u w:val="single"/>
        </w:rPr>
        <w:t>https://www.who.int/news-room/fact-sheets/detail/antimicrobial-resistance</w:t>
      </w:r>
      <w:r>
        <w:fldChar w:fldCharType="end"/>
      </w:r>
    </w:p>
    <w:p w14:paraId="354BE0FA" w14:textId="77777777" w:rsidR="00421FEF" w:rsidRDefault="006976E9">
      <w:pPr>
        <w:spacing w:after="60" w:line="252" w:lineRule="auto"/>
        <w:ind w:left="510" w:hanging="510"/>
      </w:pPr>
      <w:bookmarkStart w:id="17" w:name="ref18"/>
      <w:r>
        <w:rPr>
          <w:b/>
          <w:bCs/>
          <w:color w:val="1B5E20"/>
          <w:sz w:val="20"/>
          <w:szCs w:val="20"/>
        </w:rPr>
        <w:t xml:space="preserve">18. </w:t>
      </w:r>
      <w:bookmarkEnd w:id="17"/>
      <w:r>
        <w:fldChar w:fldCharType="begin"/>
      </w:r>
      <w:r>
        <w:instrText>HYPERLINK "https://nam.edu/perspectives/antibiotic-resistance-in-humans-and-animals/"</w:instrText>
      </w:r>
      <w:r>
        <w:fldChar w:fldCharType="separate"/>
      </w:r>
      <w:r>
        <w:rPr>
          <w:color w:val="1A5FB4"/>
          <w:sz w:val="18"/>
          <w:szCs w:val="18"/>
          <w:u w:val="single"/>
        </w:rPr>
        <w:t>https://nam.edu/perspectives/antibiotic-resistance-in-humans-and-animals/</w:t>
      </w:r>
      <w:r>
        <w:fldChar w:fldCharType="end"/>
      </w:r>
    </w:p>
    <w:p w14:paraId="354BE0FB" w14:textId="77777777" w:rsidR="00421FEF" w:rsidRDefault="006976E9">
      <w:pPr>
        <w:spacing w:after="60" w:line="252" w:lineRule="auto"/>
        <w:ind w:left="510" w:hanging="510"/>
      </w:pPr>
      <w:bookmarkStart w:id="18" w:name="ref19"/>
      <w:r>
        <w:rPr>
          <w:b/>
          <w:bCs/>
          <w:color w:val="1B5E20"/>
          <w:sz w:val="20"/>
          <w:szCs w:val="20"/>
        </w:rPr>
        <w:t xml:space="preserve">19. </w:t>
      </w:r>
      <w:bookmarkEnd w:id="18"/>
      <w:r>
        <w:fldChar w:fldCharType="begin"/>
      </w:r>
      <w:r>
        <w:instrText>HYPERLINK "https://pubmed.ncbi.nlm.nih.gov/22443909/"</w:instrText>
      </w:r>
      <w:r>
        <w:fldChar w:fldCharType="separate"/>
      </w:r>
      <w:r>
        <w:rPr>
          <w:color w:val="1A5FB4"/>
          <w:sz w:val="18"/>
          <w:szCs w:val="18"/>
          <w:u w:val="single"/>
        </w:rPr>
        <w:t>https://pubmed.ncbi.nlm.nih.gov/22443909/</w:t>
      </w:r>
      <w:r>
        <w:fldChar w:fldCharType="end"/>
      </w:r>
    </w:p>
    <w:p w14:paraId="354BE0FC" w14:textId="77777777" w:rsidR="00421FEF" w:rsidRDefault="006976E9">
      <w:pPr>
        <w:spacing w:after="60" w:line="252" w:lineRule="auto"/>
        <w:ind w:left="510" w:hanging="510"/>
      </w:pPr>
      <w:bookmarkStart w:id="19" w:name="ref20"/>
      <w:r>
        <w:rPr>
          <w:b/>
          <w:bCs/>
          <w:color w:val="1B5E20"/>
          <w:sz w:val="20"/>
          <w:szCs w:val="20"/>
        </w:rPr>
        <w:t xml:space="preserve">20. </w:t>
      </w:r>
      <w:bookmarkEnd w:id="19"/>
      <w:r>
        <w:fldChar w:fldCharType="begin"/>
      </w:r>
      <w:r>
        <w:instrText>HYPERLINK "https://www.sciencedirect.com/science/article/abs/pii/S0309174004002736"</w:instrText>
      </w:r>
      <w:r>
        <w:fldChar w:fldCharType="separate"/>
      </w:r>
      <w:r>
        <w:rPr>
          <w:color w:val="1A5FB4"/>
          <w:sz w:val="18"/>
          <w:szCs w:val="18"/>
          <w:u w:val="single"/>
        </w:rPr>
        <w:t>https://www.sciencedirect.com/science/article/abs/pii/S0309174004002736</w:t>
      </w:r>
      <w:r>
        <w:fldChar w:fldCharType="end"/>
      </w:r>
    </w:p>
    <w:p w14:paraId="354BE0FD" w14:textId="77777777" w:rsidR="00421FEF" w:rsidRDefault="006976E9">
      <w:pPr>
        <w:spacing w:after="60" w:line="252" w:lineRule="auto"/>
        <w:ind w:left="510" w:hanging="510"/>
      </w:pPr>
      <w:bookmarkStart w:id="20" w:name="ref21"/>
      <w:r>
        <w:rPr>
          <w:b/>
          <w:bCs/>
          <w:color w:val="1B5E20"/>
          <w:sz w:val="20"/>
          <w:szCs w:val="20"/>
        </w:rPr>
        <w:t xml:space="preserve">21. </w:t>
      </w:r>
      <w:bookmarkEnd w:id="20"/>
      <w:r>
        <w:fldChar w:fldCharType="begin"/>
      </w:r>
      <w:r>
        <w:instrText>HYPERLINK "https://pubmed.ncbi.nlm.nih.gov/32054158/"</w:instrText>
      </w:r>
      <w:r>
        <w:fldChar w:fldCharType="separate"/>
      </w:r>
      <w:r>
        <w:rPr>
          <w:color w:val="1A5FB4"/>
          <w:sz w:val="18"/>
          <w:szCs w:val="18"/>
          <w:u w:val="single"/>
        </w:rPr>
        <w:t>https://pubmed.ncbi.nlm.nih.gov/32054158/</w:t>
      </w:r>
      <w:r>
        <w:fldChar w:fldCharType="end"/>
      </w:r>
    </w:p>
    <w:p w14:paraId="354BE0FE" w14:textId="77777777" w:rsidR="00421FEF" w:rsidRDefault="006976E9">
      <w:pPr>
        <w:spacing w:after="60" w:line="252" w:lineRule="auto"/>
        <w:ind w:left="510" w:hanging="510"/>
      </w:pPr>
      <w:bookmarkStart w:id="21" w:name="ref22"/>
      <w:r>
        <w:rPr>
          <w:b/>
          <w:bCs/>
          <w:color w:val="1B5E20"/>
          <w:sz w:val="20"/>
          <w:szCs w:val="20"/>
        </w:rPr>
        <w:t xml:space="preserve">22. </w:t>
      </w:r>
      <w:bookmarkEnd w:id="21"/>
      <w:r>
        <w:fldChar w:fldCharType="begin"/>
      </w:r>
      <w:r>
        <w:instrText>HYPERLINK "https://www.sciencedirect.com/science/article/abs/pii/S1871141322002475"</w:instrText>
      </w:r>
      <w:r>
        <w:fldChar w:fldCharType="separate"/>
      </w:r>
      <w:r>
        <w:rPr>
          <w:color w:val="1A5FB4"/>
          <w:sz w:val="18"/>
          <w:szCs w:val="18"/>
          <w:u w:val="single"/>
        </w:rPr>
        <w:t>https://www.sciencedirect.com/science/article/abs/pii/S1871141322002475</w:t>
      </w:r>
      <w:r>
        <w:fldChar w:fldCharType="end"/>
      </w:r>
    </w:p>
    <w:p w14:paraId="354BE0FF" w14:textId="3618F895" w:rsidR="00421FEF" w:rsidRDefault="006976E9">
      <w:pPr>
        <w:spacing w:after="60" w:line="252" w:lineRule="auto"/>
        <w:ind w:left="510" w:hanging="510"/>
      </w:pPr>
      <w:bookmarkStart w:id="22" w:name="ref23"/>
      <w:r>
        <w:rPr>
          <w:b/>
          <w:bCs/>
          <w:color w:val="1B5E20"/>
          <w:sz w:val="20"/>
          <w:szCs w:val="20"/>
        </w:rPr>
        <w:t>23.</w:t>
      </w:r>
      <w:bookmarkEnd w:id="22"/>
      <w:r w:rsidR="000E1F26">
        <w:rPr>
          <w:color w:val="1A5FB4"/>
          <w:sz w:val="18"/>
          <w:szCs w:val="18"/>
          <w:u w:val="single"/>
        </w:rPr>
        <w:fldChar w:fldCharType="begin"/>
      </w:r>
      <w:r w:rsidR="000E1F26">
        <w:rPr>
          <w:color w:val="1A5FB4"/>
          <w:sz w:val="18"/>
          <w:szCs w:val="18"/>
          <w:u w:val="single"/>
        </w:rPr>
        <w:instrText>HYPERLINK "https://acikders.ankara.edu.tr/pluginfile.php/107929/mod_resource/content/0/4.%20Ders%20PSE%20%20DFD%20MEAT.pptx"</w:instrText>
      </w:r>
      <w:r w:rsidR="000E1F26">
        <w:rPr>
          <w:color w:val="1A5FB4"/>
          <w:sz w:val="18"/>
          <w:szCs w:val="18"/>
          <w:u w:val="single"/>
        </w:rPr>
      </w:r>
      <w:r w:rsidR="000E1F26">
        <w:rPr>
          <w:color w:val="1A5FB4"/>
          <w:sz w:val="18"/>
          <w:szCs w:val="18"/>
          <w:u w:val="single"/>
        </w:rPr>
        <w:fldChar w:fldCharType="separate"/>
      </w:r>
      <w:r w:rsidR="000E1F26" w:rsidRPr="004E4A67">
        <w:rPr>
          <w:rStyle w:val="Hyperlink"/>
          <w:sz w:val="18"/>
          <w:szCs w:val="18"/>
        </w:rPr>
        <w:t>https://acikders.ankara.edu.tr/pluginfile.php/107929/mod_resource/content/0/4.%20Ders%20PSE%20%20DFD%20MEAT.pptx</w:t>
      </w:r>
      <w:r w:rsidR="000E1F26">
        <w:rPr>
          <w:color w:val="1A5FB4"/>
          <w:sz w:val="18"/>
          <w:szCs w:val="18"/>
          <w:u w:val="single"/>
        </w:rPr>
        <w:fldChar w:fldCharType="end"/>
      </w:r>
    </w:p>
    <w:p w14:paraId="354BE100" w14:textId="77777777" w:rsidR="00421FEF" w:rsidRDefault="006976E9">
      <w:pPr>
        <w:spacing w:after="60" w:line="252" w:lineRule="auto"/>
        <w:ind w:left="510" w:hanging="510"/>
      </w:pPr>
      <w:bookmarkStart w:id="23" w:name="ref24"/>
      <w:r>
        <w:rPr>
          <w:b/>
          <w:bCs/>
          <w:color w:val="1B5E20"/>
          <w:sz w:val="20"/>
          <w:szCs w:val="20"/>
        </w:rPr>
        <w:t xml:space="preserve">24. </w:t>
      </w:r>
      <w:bookmarkEnd w:id="23"/>
      <w:r>
        <w:fldChar w:fldCharType="begin"/>
      </w:r>
      <w:r>
        <w:instrText>HYPERLINK "https://pmc.ncbi.nlm.nih.gov/articles/PMC7402184/"</w:instrText>
      </w:r>
      <w:r>
        <w:fldChar w:fldCharType="separate"/>
      </w:r>
      <w:r>
        <w:rPr>
          <w:color w:val="1A5FB4"/>
          <w:sz w:val="18"/>
          <w:szCs w:val="18"/>
          <w:u w:val="single"/>
        </w:rPr>
        <w:t>https://pmc.ncbi.nlm.nih.gov/articles/PMC7402184/</w:t>
      </w:r>
      <w:r>
        <w:fldChar w:fldCharType="end"/>
      </w:r>
    </w:p>
    <w:p w14:paraId="354BE101" w14:textId="77777777" w:rsidR="00421FEF" w:rsidRDefault="006976E9">
      <w:pPr>
        <w:spacing w:after="60" w:line="252" w:lineRule="auto"/>
        <w:ind w:left="510" w:hanging="510"/>
      </w:pPr>
      <w:bookmarkStart w:id="24" w:name="ref25"/>
      <w:r>
        <w:rPr>
          <w:b/>
          <w:bCs/>
          <w:color w:val="1B5E20"/>
          <w:sz w:val="20"/>
          <w:szCs w:val="20"/>
        </w:rPr>
        <w:t xml:space="preserve">25. </w:t>
      </w:r>
      <w:bookmarkEnd w:id="24"/>
      <w:r>
        <w:fldChar w:fldCharType="begin"/>
      </w:r>
      <w:r>
        <w:instrText>HYPERLINK "https://health.clevelandclinic.org/do-i-need-to-worry-about-eating-complete-proteins"</w:instrText>
      </w:r>
      <w:r>
        <w:fldChar w:fldCharType="separate"/>
      </w:r>
      <w:r>
        <w:rPr>
          <w:color w:val="1A5FB4"/>
          <w:sz w:val="18"/>
          <w:szCs w:val="18"/>
          <w:u w:val="single"/>
        </w:rPr>
        <w:t>https://health.clevelandclinic.org/do-i-need-to-worry-about-eating-complete-proteins</w:t>
      </w:r>
      <w:r>
        <w:fldChar w:fldCharType="end"/>
      </w:r>
    </w:p>
    <w:p w14:paraId="354BE102" w14:textId="77777777" w:rsidR="00421FEF" w:rsidRDefault="006976E9">
      <w:pPr>
        <w:spacing w:after="60" w:line="252" w:lineRule="auto"/>
        <w:ind w:left="510" w:hanging="510"/>
      </w:pPr>
      <w:bookmarkStart w:id="25" w:name="ref26"/>
      <w:r>
        <w:rPr>
          <w:b/>
          <w:bCs/>
          <w:color w:val="1B5E20"/>
          <w:sz w:val="20"/>
          <w:szCs w:val="20"/>
        </w:rPr>
        <w:t xml:space="preserve">26. </w:t>
      </w:r>
      <w:bookmarkEnd w:id="25"/>
      <w:r>
        <w:fldChar w:fldCharType="begin"/>
      </w:r>
      <w:r>
        <w:instrText>HYPERLINK "https://www.nhs.uk/live-well/eat-well/how-to-eat-a-balanced-diet/the-vegan-diet/"</w:instrText>
      </w:r>
      <w:r>
        <w:fldChar w:fldCharType="separate"/>
      </w:r>
      <w:r>
        <w:rPr>
          <w:color w:val="1A5FB4"/>
          <w:sz w:val="18"/>
          <w:szCs w:val="18"/>
          <w:u w:val="single"/>
        </w:rPr>
        <w:t>https://www.nhs.uk/live-well/eat-well/how-to-eat-a-balanced-diet/the-vegan-diet/</w:t>
      </w:r>
      <w:r>
        <w:fldChar w:fldCharType="end"/>
      </w:r>
    </w:p>
    <w:p w14:paraId="354BE103" w14:textId="77777777" w:rsidR="00421FEF" w:rsidRDefault="006976E9">
      <w:pPr>
        <w:spacing w:after="60" w:line="252" w:lineRule="auto"/>
        <w:ind w:left="510" w:hanging="510"/>
      </w:pPr>
      <w:bookmarkStart w:id="26" w:name="ref27"/>
      <w:r>
        <w:rPr>
          <w:b/>
          <w:bCs/>
          <w:color w:val="1B5E20"/>
          <w:sz w:val="20"/>
          <w:szCs w:val="20"/>
        </w:rPr>
        <w:t xml:space="preserve">27. </w:t>
      </w:r>
      <w:bookmarkEnd w:id="26"/>
      <w:r>
        <w:fldChar w:fldCharType="begin"/>
      </w:r>
      <w:r>
        <w:instrText>HYPERLINK "https://www.forksoverknives.com/wellness/vitamin-b12-questions-answered-2/"</w:instrText>
      </w:r>
      <w:r>
        <w:fldChar w:fldCharType="separate"/>
      </w:r>
      <w:r>
        <w:rPr>
          <w:color w:val="1A5FB4"/>
          <w:sz w:val="18"/>
          <w:szCs w:val="18"/>
          <w:u w:val="single"/>
        </w:rPr>
        <w:t>https://www.forksoverknives.com/wellness/vitamin-b12-questions-answered-2/</w:t>
      </w:r>
      <w:r>
        <w:fldChar w:fldCharType="end"/>
      </w:r>
    </w:p>
    <w:p w14:paraId="354BE104" w14:textId="77777777" w:rsidR="00421FEF" w:rsidRDefault="006976E9">
      <w:pPr>
        <w:spacing w:after="60" w:line="252" w:lineRule="auto"/>
        <w:ind w:left="510" w:hanging="510"/>
      </w:pPr>
      <w:bookmarkStart w:id="27" w:name="ref28"/>
      <w:r>
        <w:rPr>
          <w:b/>
          <w:bCs/>
          <w:color w:val="1B5E20"/>
          <w:sz w:val="20"/>
          <w:szCs w:val="20"/>
        </w:rPr>
        <w:t xml:space="preserve">28. </w:t>
      </w:r>
      <w:bookmarkEnd w:id="27"/>
      <w:r>
        <w:fldChar w:fldCharType="begin"/>
      </w:r>
      <w:r>
        <w:instrText>HYPERLINK "https://www.epa.gov/mercury/how-people-are-exposed-mercury"</w:instrText>
      </w:r>
      <w:r>
        <w:fldChar w:fldCharType="separate"/>
      </w:r>
      <w:r>
        <w:rPr>
          <w:color w:val="1A5FB4"/>
          <w:sz w:val="18"/>
          <w:szCs w:val="18"/>
          <w:u w:val="single"/>
        </w:rPr>
        <w:t>https://www.epa.gov/mercury/how-people-are-exposed-mercury</w:t>
      </w:r>
      <w:r>
        <w:fldChar w:fldCharType="end"/>
      </w:r>
    </w:p>
    <w:p w14:paraId="354BE105" w14:textId="77777777" w:rsidR="00421FEF" w:rsidRDefault="006976E9">
      <w:pPr>
        <w:spacing w:after="60" w:line="252" w:lineRule="auto"/>
        <w:ind w:left="510" w:hanging="510"/>
      </w:pPr>
      <w:bookmarkStart w:id="28" w:name="ref29"/>
      <w:r>
        <w:rPr>
          <w:b/>
          <w:bCs/>
          <w:color w:val="1B5E20"/>
          <w:sz w:val="20"/>
          <w:szCs w:val="20"/>
        </w:rPr>
        <w:t xml:space="preserve">29. </w:t>
      </w:r>
      <w:bookmarkEnd w:id="28"/>
      <w:r>
        <w:fldChar w:fldCharType="begin"/>
      </w:r>
      <w:r>
        <w:instrText>HYPERLINK "https://home.dartmouth.edu/news/2024/04/pfas-exposure-high-seafood-diets-may-be-underestimated"</w:instrText>
      </w:r>
      <w:r>
        <w:fldChar w:fldCharType="separate"/>
      </w:r>
      <w:r>
        <w:rPr>
          <w:color w:val="1A5FB4"/>
          <w:sz w:val="18"/>
          <w:szCs w:val="18"/>
          <w:u w:val="single"/>
        </w:rPr>
        <w:t>https://home.dartmouth.edu/news/2024/04/pfas-exposure-high-seafood-diets-may-be-underestimated</w:t>
      </w:r>
      <w:r>
        <w:fldChar w:fldCharType="end"/>
      </w:r>
    </w:p>
    <w:p w14:paraId="354BE106" w14:textId="77777777" w:rsidR="00421FEF" w:rsidRDefault="006976E9">
      <w:pPr>
        <w:spacing w:after="60" w:line="252" w:lineRule="auto"/>
        <w:ind w:left="510" w:hanging="510"/>
      </w:pPr>
      <w:bookmarkStart w:id="29" w:name="ref30"/>
      <w:r>
        <w:rPr>
          <w:b/>
          <w:bCs/>
          <w:color w:val="1B5E20"/>
          <w:sz w:val="20"/>
          <w:szCs w:val="20"/>
        </w:rPr>
        <w:t xml:space="preserve">30. </w:t>
      </w:r>
      <w:bookmarkEnd w:id="29"/>
      <w:r>
        <w:fldChar w:fldCharType="begin"/>
      </w:r>
      <w:r>
        <w:instrText>HYPERLINK "https://www.theguardian.com/us-news/2025/feb/03/seafood-microplastic-contamination-study"</w:instrText>
      </w:r>
      <w:r>
        <w:fldChar w:fldCharType="separate"/>
      </w:r>
      <w:r>
        <w:rPr>
          <w:color w:val="1A5FB4"/>
          <w:sz w:val="18"/>
          <w:szCs w:val="18"/>
          <w:u w:val="single"/>
        </w:rPr>
        <w:t>https://www.theguardian.com/us-news/2025/feb/03/seafood-microplastic-contamination-study</w:t>
      </w:r>
      <w:r>
        <w:fldChar w:fldCharType="end"/>
      </w:r>
    </w:p>
    <w:p w14:paraId="354BE107" w14:textId="77777777" w:rsidR="00421FEF" w:rsidRDefault="006976E9">
      <w:pPr>
        <w:spacing w:after="60" w:line="252" w:lineRule="auto"/>
        <w:ind w:left="510" w:hanging="510"/>
      </w:pPr>
      <w:bookmarkStart w:id="30" w:name="ref31"/>
      <w:r>
        <w:rPr>
          <w:b/>
          <w:bCs/>
          <w:color w:val="1B5E20"/>
          <w:sz w:val="20"/>
          <w:szCs w:val="20"/>
        </w:rPr>
        <w:t xml:space="preserve">31. </w:t>
      </w:r>
      <w:bookmarkEnd w:id="30"/>
      <w:r>
        <w:fldChar w:fldCharType="begin"/>
      </w:r>
      <w:r>
        <w:instrText>HYPERLINK "https://www.fao.org/antimicrobial-resistance/key-sectors/fishery-and-aquaculture/en/"</w:instrText>
      </w:r>
      <w:r>
        <w:fldChar w:fldCharType="separate"/>
      </w:r>
      <w:r>
        <w:rPr>
          <w:color w:val="1A5FB4"/>
          <w:sz w:val="18"/>
          <w:szCs w:val="18"/>
          <w:u w:val="single"/>
        </w:rPr>
        <w:t>https://www.fao.org/antimicrobial-resistance/key-sectors/fishery-and-aquaculture/en/</w:t>
      </w:r>
      <w:r>
        <w:fldChar w:fldCharType="end"/>
      </w:r>
    </w:p>
    <w:p w14:paraId="354BE108" w14:textId="77777777" w:rsidR="00421FEF" w:rsidRDefault="006976E9">
      <w:pPr>
        <w:spacing w:after="60" w:line="252" w:lineRule="auto"/>
        <w:ind w:left="510" w:hanging="510"/>
      </w:pPr>
      <w:bookmarkStart w:id="31" w:name="ref32"/>
      <w:r>
        <w:rPr>
          <w:b/>
          <w:bCs/>
          <w:color w:val="1B5E20"/>
          <w:sz w:val="20"/>
          <w:szCs w:val="20"/>
        </w:rPr>
        <w:t xml:space="preserve">32. </w:t>
      </w:r>
      <w:bookmarkEnd w:id="31"/>
      <w:r>
        <w:fldChar w:fldCharType="begin"/>
      </w:r>
      <w:r>
        <w:instrText>HYPERLINK "https://pmc.ncbi.nlm.nih.gov/articles/PMC8198758/"</w:instrText>
      </w:r>
      <w:r>
        <w:fldChar w:fldCharType="separate"/>
      </w:r>
      <w:r>
        <w:rPr>
          <w:color w:val="1A5FB4"/>
          <w:sz w:val="18"/>
          <w:szCs w:val="18"/>
          <w:u w:val="single"/>
        </w:rPr>
        <w:t>https://pmc.ncbi.nlm.nih.gov/articles/PMC8198758/</w:t>
      </w:r>
      <w:r>
        <w:fldChar w:fldCharType="end"/>
      </w:r>
    </w:p>
    <w:p w14:paraId="354BE109" w14:textId="77777777" w:rsidR="00421FEF" w:rsidRDefault="006976E9">
      <w:pPr>
        <w:spacing w:after="60" w:line="252" w:lineRule="auto"/>
        <w:ind w:left="510" w:hanging="510"/>
      </w:pPr>
      <w:bookmarkStart w:id="32" w:name="ref33"/>
      <w:r>
        <w:rPr>
          <w:b/>
          <w:bCs/>
          <w:color w:val="1B5E20"/>
          <w:sz w:val="20"/>
          <w:szCs w:val="20"/>
        </w:rPr>
        <w:t xml:space="preserve">33. </w:t>
      </w:r>
      <w:bookmarkEnd w:id="32"/>
      <w:r>
        <w:fldChar w:fldCharType="begin"/>
      </w:r>
      <w:r>
        <w:instrText>HYPERLINK "https://www.fao.org/statistics/highlights-archive/highlights-detail/greenhouse-gas-emissions-from-agrifood-systems.-global--regional-and-country-trends-2000-2022"</w:instrText>
      </w:r>
      <w:r>
        <w:fldChar w:fldCharType="separate"/>
      </w:r>
      <w:r>
        <w:rPr>
          <w:color w:val="1A5FB4"/>
          <w:sz w:val="18"/>
          <w:szCs w:val="18"/>
          <w:u w:val="single"/>
        </w:rPr>
        <w:t>https://www.fao.org/statistics/highlights-archive/highlights-detail/greenhouse-gas-emissions-from-agrifood-systems.-global--regional-and-country-trends-2000-2022</w:t>
      </w:r>
      <w:r>
        <w:fldChar w:fldCharType="end"/>
      </w:r>
    </w:p>
    <w:p w14:paraId="354BE10A" w14:textId="77777777" w:rsidR="00421FEF" w:rsidRDefault="006976E9">
      <w:pPr>
        <w:spacing w:after="60" w:line="252" w:lineRule="auto"/>
        <w:ind w:left="510" w:hanging="510"/>
      </w:pPr>
      <w:bookmarkStart w:id="33" w:name="ref34"/>
      <w:r>
        <w:rPr>
          <w:b/>
          <w:bCs/>
          <w:color w:val="1B5E20"/>
          <w:sz w:val="20"/>
          <w:szCs w:val="20"/>
        </w:rPr>
        <w:t xml:space="preserve">34. </w:t>
      </w:r>
      <w:bookmarkEnd w:id="33"/>
      <w:r>
        <w:fldChar w:fldCharType="begin"/>
      </w:r>
      <w:r>
        <w:instrText>HYPERLINK "https://www.pcrm.org/good-nutrition/vegan-diet-environment"</w:instrText>
      </w:r>
      <w:r>
        <w:fldChar w:fldCharType="separate"/>
      </w:r>
      <w:r>
        <w:rPr>
          <w:color w:val="1A5FB4"/>
          <w:sz w:val="18"/>
          <w:szCs w:val="18"/>
          <w:u w:val="single"/>
        </w:rPr>
        <w:t>https://www.pcrm.org/good-nutrition/vegan-diet-environment</w:t>
      </w:r>
      <w:r>
        <w:fldChar w:fldCharType="end"/>
      </w:r>
    </w:p>
    <w:p w14:paraId="354BE10B" w14:textId="77777777" w:rsidR="00421FEF" w:rsidRDefault="006976E9">
      <w:pPr>
        <w:spacing w:after="60" w:line="252" w:lineRule="auto"/>
        <w:ind w:left="510" w:hanging="510"/>
      </w:pPr>
      <w:bookmarkStart w:id="34" w:name="ref35"/>
      <w:r>
        <w:rPr>
          <w:b/>
          <w:bCs/>
          <w:color w:val="1B5E20"/>
          <w:sz w:val="20"/>
          <w:szCs w:val="20"/>
        </w:rPr>
        <w:t xml:space="preserve">35. </w:t>
      </w:r>
      <w:bookmarkEnd w:id="34"/>
      <w:r>
        <w:fldChar w:fldCharType="begin"/>
      </w:r>
      <w:r>
        <w:instrText>HYPERLINK "https://openknowledge.fao.org/items/5e54916e-a037-4b05-b04a-a46e87ffbe72"</w:instrText>
      </w:r>
      <w:r>
        <w:fldChar w:fldCharType="separate"/>
      </w:r>
      <w:r>
        <w:rPr>
          <w:color w:val="1A5FB4"/>
          <w:sz w:val="18"/>
          <w:szCs w:val="18"/>
          <w:u w:val="single"/>
        </w:rPr>
        <w:t>https://openknowledge.fao.org/items/5e54916e-a037-4b05-b04a-a46e87ffbe72</w:t>
      </w:r>
      <w:r>
        <w:fldChar w:fldCharType="end"/>
      </w:r>
    </w:p>
    <w:p w14:paraId="354BE10C" w14:textId="77777777" w:rsidR="00421FEF" w:rsidRDefault="006976E9">
      <w:pPr>
        <w:spacing w:after="60" w:line="252" w:lineRule="auto"/>
        <w:ind w:left="510" w:hanging="510"/>
      </w:pPr>
      <w:bookmarkStart w:id="35" w:name="ref36"/>
      <w:r>
        <w:rPr>
          <w:b/>
          <w:bCs/>
          <w:color w:val="1B5E20"/>
          <w:sz w:val="20"/>
          <w:szCs w:val="20"/>
        </w:rPr>
        <w:lastRenderedPageBreak/>
        <w:t xml:space="preserve">36. </w:t>
      </w:r>
      <w:bookmarkEnd w:id="35"/>
      <w:r>
        <w:fldChar w:fldCharType="begin"/>
      </w:r>
      <w:r>
        <w:instrText>HYPERLINK "https://www.fao.org/statistics/highlights-archive/highlights-detail/greenhouse-gas-emissions-from-agrifood-systems.-global--regional-and-country-trends-2000-2022"</w:instrText>
      </w:r>
      <w:r>
        <w:fldChar w:fldCharType="separate"/>
      </w:r>
      <w:r>
        <w:rPr>
          <w:color w:val="1A5FB4"/>
          <w:sz w:val="18"/>
          <w:szCs w:val="18"/>
          <w:u w:val="single"/>
        </w:rPr>
        <w:t>https://www.fao.org/statistics/highlights-archive/highlights-detail/greenhouse-gas-emissions-from-agrifood-systems.-global--regional-and-country-trends-2000-2022</w:t>
      </w:r>
      <w:r>
        <w:fldChar w:fldCharType="end"/>
      </w:r>
    </w:p>
    <w:p w14:paraId="354BE10D" w14:textId="77777777" w:rsidR="00421FEF" w:rsidRDefault="006976E9">
      <w:pPr>
        <w:spacing w:after="60" w:line="252" w:lineRule="auto"/>
        <w:ind w:left="510" w:hanging="510"/>
      </w:pPr>
      <w:bookmarkStart w:id="36" w:name="ref37"/>
      <w:r>
        <w:rPr>
          <w:b/>
          <w:bCs/>
          <w:color w:val="1B5E20"/>
          <w:sz w:val="20"/>
          <w:szCs w:val="20"/>
        </w:rPr>
        <w:t xml:space="preserve">37. </w:t>
      </w:r>
      <w:bookmarkEnd w:id="36"/>
      <w:r>
        <w:fldChar w:fldCharType="begin"/>
      </w:r>
      <w:r>
        <w:instrText>HYPERLINK "https://www.pcrm.org/good-nutrition/vegan-diet-environment"</w:instrText>
      </w:r>
      <w:r>
        <w:fldChar w:fldCharType="separate"/>
      </w:r>
      <w:r>
        <w:rPr>
          <w:color w:val="1A5FB4"/>
          <w:sz w:val="18"/>
          <w:szCs w:val="18"/>
          <w:u w:val="single"/>
        </w:rPr>
        <w:t>https://www.pcrm.org/good-nutrition/vegan-diet-environment</w:t>
      </w:r>
      <w:r>
        <w:fldChar w:fldCharType="end"/>
      </w:r>
    </w:p>
    <w:p w14:paraId="354BE10E" w14:textId="77777777" w:rsidR="00421FEF" w:rsidRDefault="006976E9">
      <w:pPr>
        <w:spacing w:after="60" w:line="252" w:lineRule="auto"/>
        <w:ind w:left="510" w:hanging="510"/>
      </w:pPr>
      <w:bookmarkStart w:id="37" w:name="ref38"/>
      <w:r>
        <w:rPr>
          <w:b/>
          <w:bCs/>
          <w:color w:val="1B5E20"/>
          <w:sz w:val="20"/>
          <w:szCs w:val="20"/>
        </w:rPr>
        <w:t xml:space="preserve">38. </w:t>
      </w:r>
      <w:bookmarkEnd w:id="37"/>
      <w:r>
        <w:fldChar w:fldCharType="begin"/>
      </w:r>
      <w:r>
        <w:instrText>HYPERLINK "https://www.pcrm.org/good-nutrition/vegan-diet-environment"</w:instrText>
      </w:r>
      <w:r>
        <w:fldChar w:fldCharType="separate"/>
      </w:r>
      <w:r>
        <w:rPr>
          <w:color w:val="1A5FB4"/>
          <w:sz w:val="18"/>
          <w:szCs w:val="18"/>
          <w:u w:val="single"/>
        </w:rPr>
        <w:t>https://www.pcrm.org/good-nutrition/vegan-diet-environment</w:t>
      </w:r>
      <w:r>
        <w:fldChar w:fldCharType="end"/>
      </w:r>
    </w:p>
    <w:p w14:paraId="354BE10F" w14:textId="77777777" w:rsidR="00421FEF" w:rsidRDefault="006976E9">
      <w:pPr>
        <w:spacing w:after="60" w:line="252" w:lineRule="auto"/>
        <w:ind w:left="510" w:hanging="510"/>
      </w:pPr>
      <w:bookmarkStart w:id="38" w:name="ref39"/>
      <w:r>
        <w:rPr>
          <w:b/>
          <w:bCs/>
          <w:color w:val="1B5E20"/>
          <w:sz w:val="20"/>
          <w:szCs w:val="20"/>
        </w:rPr>
        <w:t xml:space="preserve">39. </w:t>
      </w:r>
      <w:bookmarkEnd w:id="38"/>
      <w:r>
        <w:fldChar w:fldCharType="begin"/>
      </w:r>
      <w:r>
        <w:instrText>HYPERLINK "https://www.medsci.ox.ac.uk/news/vegan-diet-has-just-30-of-the-environmental-impact-of-a-high-meat-diet-major-study-finds"</w:instrText>
      </w:r>
      <w:r>
        <w:fldChar w:fldCharType="separate"/>
      </w:r>
      <w:r>
        <w:rPr>
          <w:color w:val="1A5FB4"/>
          <w:sz w:val="18"/>
          <w:szCs w:val="18"/>
          <w:u w:val="single"/>
        </w:rPr>
        <w:t>https://www.medsci.ox.ac.uk/news/vegan-diet-has-just-30-of-the-environmental-impact-of-a-high-meat-diet-major-study-finds</w:t>
      </w:r>
      <w:r>
        <w:fldChar w:fldCharType="end"/>
      </w:r>
    </w:p>
    <w:p w14:paraId="354BE110" w14:textId="77777777" w:rsidR="00421FEF" w:rsidRDefault="006976E9">
      <w:pPr>
        <w:spacing w:after="60" w:line="252" w:lineRule="auto"/>
        <w:ind w:left="510" w:hanging="510"/>
      </w:pPr>
      <w:bookmarkStart w:id="39" w:name="ref40"/>
      <w:r>
        <w:rPr>
          <w:b/>
          <w:bCs/>
          <w:color w:val="1B5E20"/>
          <w:sz w:val="20"/>
          <w:szCs w:val="20"/>
        </w:rPr>
        <w:t xml:space="preserve">40. </w:t>
      </w:r>
      <w:bookmarkEnd w:id="39"/>
      <w:r>
        <w:fldChar w:fldCharType="begin"/>
      </w:r>
      <w:r>
        <w:instrText>HYPERLINK "https://eartharxiv.org/repository/view/11342/"</w:instrText>
      </w:r>
      <w:r>
        <w:fldChar w:fldCharType="separate"/>
      </w:r>
      <w:r>
        <w:rPr>
          <w:color w:val="1A5FB4"/>
          <w:sz w:val="18"/>
          <w:szCs w:val="18"/>
          <w:u w:val="single"/>
        </w:rPr>
        <w:t>https://eartharxiv.org/repository/view/11342/</w:t>
      </w:r>
      <w:r>
        <w:fldChar w:fldCharType="end"/>
      </w:r>
    </w:p>
    <w:p w14:paraId="354BE111" w14:textId="77777777" w:rsidR="00421FEF" w:rsidRDefault="006976E9">
      <w:pPr>
        <w:spacing w:after="60" w:line="252" w:lineRule="auto"/>
        <w:ind w:left="510" w:hanging="510"/>
      </w:pPr>
      <w:bookmarkStart w:id="40" w:name="ref41"/>
      <w:r>
        <w:rPr>
          <w:b/>
          <w:bCs/>
          <w:color w:val="1B5E20"/>
          <w:sz w:val="20"/>
          <w:szCs w:val="20"/>
        </w:rPr>
        <w:t xml:space="preserve">41. </w:t>
      </w:r>
      <w:bookmarkEnd w:id="40"/>
      <w:r>
        <w:fldChar w:fldCharType="begin"/>
      </w:r>
      <w:r>
        <w:instrText>HYPERLINK "https://www.humaneworld.org/en/news/eight-reasons-eat-plant-based-and-save"</w:instrText>
      </w:r>
      <w:r>
        <w:fldChar w:fldCharType="separate"/>
      </w:r>
      <w:r>
        <w:rPr>
          <w:color w:val="1A5FB4"/>
          <w:sz w:val="18"/>
          <w:szCs w:val="18"/>
          <w:u w:val="single"/>
        </w:rPr>
        <w:t>https://www.humaneworld.org/en/news/eight-reasons-eat-plant-based-and-save</w:t>
      </w:r>
      <w:r>
        <w:fldChar w:fldCharType="end"/>
      </w:r>
    </w:p>
    <w:p w14:paraId="354BE112" w14:textId="77777777" w:rsidR="00421FEF" w:rsidRDefault="006976E9">
      <w:pPr>
        <w:spacing w:after="60" w:line="252" w:lineRule="auto"/>
        <w:ind w:left="510" w:hanging="510"/>
      </w:pPr>
      <w:bookmarkStart w:id="41" w:name="ref42"/>
      <w:r>
        <w:rPr>
          <w:b/>
          <w:bCs/>
          <w:color w:val="1B5E20"/>
          <w:sz w:val="20"/>
          <w:szCs w:val="20"/>
        </w:rPr>
        <w:t xml:space="preserve">42. </w:t>
      </w:r>
      <w:bookmarkEnd w:id="41"/>
      <w:r>
        <w:fldChar w:fldCharType="begin"/>
      </w:r>
      <w:r>
        <w:instrText>HYPERLINK "https://pmc.ncbi.nlm.nih.gov/articles/PMC9024616/"</w:instrText>
      </w:r>
      <w:r>
        <w:fldChar w:fldCharType="separate"/>
      </w:r>
      <w:r>
        <w:rPr>
          <w:color w:val="1A5FB4"/>
          <w:sz w:val="18"/>
          <w:szCs w:val="18"/>
          <w:u w:val="single"/>
        </w:rPr>
        <w:t>https://pmc.ncbi.nlm.nih.gov/articles/PMC9024616/</w:t>
      </w:r>
      <w:r>
        <w:fldChar w:fldCharType="end"/>
      </w:r>
    </w:p>
    <w:p w14:paraId="354BE113" w14:textId="77777777" w:rsidR="00421FEF" w:rsidRDefault="006976E9">
      <w:pPr>
        <w:spacing w:after="60" w:line="252" w:lineRule="auto"/>
        <w:ind w:left="510" w:hanging="510"/>
      </w:pPr>
      <w:bookmarkStart w:id="42" w:name="ref43"/>
      <w:r>
        <w:rPr>
          <w:b/>
          <w:bCs/>
          <w:color w:val="1B5E20"/>
          <w:sz w:val="20"/>
          <w:szCs w:val="20"/>
        </w:rPr>
        <w:t xml:space="preserve">43. </w:t>
      </w:r>
      <w:bookmarkEnd w:id="42"/>
      <w:r>
        <w:fldChar w:fldCharType="begin"/>
      </w:r>
      <w:r>
        <w:instrText>HYPERLINK "https://earth.org/how-animal-agriculture-is-accelerating-global-deforestation/"</w:instrText>
      </w:r>
      <w:r>
        <w:fldChar w:fldCharType="separate"/>
      </w:r>
      <w:r>
        <w:rPr>
          <w:color w:val="1A5FB4"/>
          <w:sz w:val="18"/>
          <w:szCs w:val="18"/>
          <w:u w:val="single"/>
        </w:rPr>
        <w:t>https://earth.org/how-animal-agriculture-is-accelerating-global-deforestation/</w:t>
      </w:r>
      <w:r>
        <w:fldChar w:fldCharType="end"/>
      </w:r>
    </w:p>
    <w:p w14:paraId="354BE114" w14:textId="77777777" w:rsidR="00421FEF" w:rsidRDefault="006976E9">
      <w:pPr>
        <w:spacing w:after="60" w:line="252" w:lineRule="auto"/>
        <w:ind w:left="510" w:hanging="510"/>
      </w:pPr>
      <w:bookmarkStart w:id="43" w:name="ref44"/>
      <w:r>
        <w:rPr>
          <w:b/>
          <w:bCs/>
          <w:color w:val="1B5E20"/>
          <w:sz w:val="20"/>
          <w:szCs w:val="20"/>
        </w:rPr>
        <w:t xml:space="preserve">44. </w:t>
      </w:r>
      <w:bookmarkEnd w:id="43"/>
      <w:r>
        <w:fldChar w:fldCharType="begin"/>
      </w:r>
      <w:r>
        <w:instrText>HYPERLINK "https://en.wikipedia.org/wiki/Deforestation_of_the_Amazon_rainforest"</w:instrText>
      </w:r>
      <w:r>
        <w:fldChar w:fldCharType="separate"/>
      </w:r>
      <w:r>
        <w:rPr>
          <w:color w:val="1A5FB4"/>
          <w:sz w:val="18"/>
          <w:szCs w:val="18"/>
          <w:u w:val="single"/>
        </w:rPr>
        <w:t>https://en.wikipedia.org/wiki/Deforestation_of_the_Amazon_rainforest</w:t>
      </w:r>
      <w:r>
        <w:fldChar w:fldCharType="end"/>
      </w:r>
    </w:p>
    <w:p w14:paraId="354BE115" w14:textId="77777777" w:rsidR="00421FEF" w:rsidRDefault="006976E9">
      <w:pPr>
        <w:spacing w:after="60" w:line="252" w:lineRule="auto"/>
        <w:ind w:left="510" w:hanging="510"/>
      </w:pPr>
      <w:bookmarkStart w:id="44" w:name="ref45"/>
      <w:r>
        <w:rPr>
          <w:b/>
          <w:bCs/>
          <w:color w:val="1B5E20"/>
          <w:sz w:val="20"/>
          <w:szCs w:val="20"/>
        </w:rPr>
        <w:t xml:space="preserve">45. </w:t>
      </w:r>
      <w:bookmarkEnd w:id="44"/>
      <w:r>
        <w:fldChar w:fldCharType="begin"/>
      </w:r>
      <w:r>
        <w:instrText>HYPERLINK "https://www.thecattlesite.com/news/49594/how-much-water-does-it-take-to-produce-meat/"</w:instrText>
      </w:r>
      <w:r>
        <w:fldChar w:fldCharType="separate"/>
      </w:r>
      <w:r>
        <w:rPr>
          <w:color w:val="1A5FB4"/>
          <w:sz w:val="18"/>
          <w:szCs w:val="18"/>
          <w:u w:val="single"/>
        </w:rPr>
        <w:t>https://www.thecattlesite.com/news/49594/how-much-water-does-it-take-to-produce-meat/</w:t>
      </w:r>
      <w:r>
        <w:fldChar w:fldCharType="end"/>
      </w:r>
    </w:p>
    <w:p w14:paraId="354BE116" w14:textId="77777777" w:rsidR="00421FEF" w:rsidRDefault="006976E9">
      <w:pPr>
        <w:spacing w:after="60" w:line="252" w:lineRule="auto"/>
        <w:ind w:left="510" w:hanging="510"/>
      </w:pPr>
      <w:bookmarkStart w:id="45" w:name="ref46"/>
      <w:r>
        <w:rPr>
          <w:b/>
          <w:bCs/>
          <w:color w:val="1B5E20"/>
          <w:sz w:val="20"/>
          <w:szCs w:val="20"/>
        </w:rPr>
        <w:t xml:space="preserve">46. </w:t>
      </w:r>
      <w:bookmarkEnd w:id="45"/>
      <w:r>
        <w:fldChar w:fldCharType="begin"/>
      </w:r>
      <w:r>
        <w:instrText>HYPERLINK "https://bitekit.app/tools/food-water-footprint-calculator/"</w:instrText>
      </w:r>
      <w:r>
        <w:fldChar w:fldCharType="separate"/>
      </w:r>
      <w:r>
        <w:rPr>
          <w:color w:val="1A5FB4"/>
          <w:sz w:val="18"/>
          <w:szCs w:val="18"/>
          <w:u w:val="single"/>
        </w:rPr>
        <w:t>https://bitekit.app/tools/food-water-footprint-calculator/</w:t>
      </w:r>
      <w:r>
        <w:fldChar w:fldCharType="end"/>
      </w:r>
    </w:p>
    <w:p w14:paraId="354BE117" w14:textId="77777777" w:rsidR="00421FEF" w:rsidRDefault="006976E9">
      <w:pPr>
        <w:spacing w:after="60" w:line="252" w:lineRule="auto"/>
        <w:ind w:left="510" w:hanging="510"/>
      </w:pPr>
      <w:bookmarkStart w:id="46" w:name="ref47"/>
      <w:r>
        <w:rPr>
          <w:b/>
          <w:bCs/>
          <w:color w:val="1B5E20"/>
          <w:sz w:val="20"/>
          <w:szCs w:val="20"/>
        </w:rPr>
        <w:t xml:space="preserve">47. </w:t>
      </w:r>
      <w:bookmarkEnd w:id="46"/>
      <w:r>
        <w:fldChar w:fldCharType="begin"/>
      </w:r>
      <w:r>
        <w:instrText>HYPERLINK "https://pmc.ncbi.nlm.nih.gov/articles/PMC7551173/"</w:instrText>
      </w:r>
      <w:r>
        <w:fldChar w:fldCharType="separate"/>
      </w:r>
      <w:r>
        <w:rPr>
          <w:color w:val="1A5FB4"/>
          <w:sz w:val="18"/>
          <w:szCs w:val="18"/>
          <w:u w:val="single"/>
        </w:rPr>
        <w:t>https://pmc.ncbi.nlm.nih.gov/articles/PMC7551173/</w:t>
      </w:r>
      <w:r>
        <w:fldChar w:fldCharType="end"/>
      </w:r>
    </w:p>
    <w:p w14:paraId="354BE118" w14:textId="77777777" w:rsidR="00421FEF" w:rsidRDefault="006976E9">
      <w:pPr>
        <w:spacing w:after="60" w:line="252" w:lineRule="auto"/>
        <w:ind w:left="510" w:hanging="510"/>
      </w:pPr>
      <w:bookmarkStart w:id="47" w:name="ref48"/>
      <w:r>
        <w:rPr>
          <w:b/>
          <w:bCs/>
          <w:color w:val="1B5E20"/>
          <w:sz w:val="20"/>
          <w:szCs w:val="20"/>
        </w:rPr>
        <w:t xml:space="preserve">48. </w:t>
      </w:r>
      <w:bookmarkEnd w:id="47"/>
      <w:r>
        <w:fldChar w:fldCharType="begin"/>
      </w:r>
      <w:r>
        <w:instrText>HYPERLINK "https://www.humaneworld.org/en/news/eight-reasons-eat-plant-based-and-save"</w:instrText>
      </w:r>
      <w:r>
        <w:fldChar w:fldCharType="separate"/>
      </w:r>
      <w:r>
        <w:rPr>
          <w:color w:val="1A5FB4"/>
          <w:sz w:val="18"/>
          <w:szCs w:val="18"/>
          <w:u w:val="single"/>
        </w:rPr>
        <w:t>https://www.humaneworld.org/en/news/eight-reasons-eat-plant-based-and-save</w:t>
      </w:r>
      <w:r>
        <w:fldChar w:fldCharType="end"/>
      </w:r>
    </w:p>
    <w:p w14:paraId="354BE119" w14:textId="77777777" w:rsidR="00421FEF" w:rsidRDefault="006976E9">
      <w:pPr>
        <w:spacing w:after="60" w:line="252" w:lineRule="auto"/>
        <w:ind w:left="510" w:hanging="510"/>
      </w:pPr>
      <w:bookmarkStart w:id="48" w:name="ref49"/>
      <w:r>
        <w:rPr>
          <w:b/>
          <w:bCs/>
          <w:color w:val="1B5E20"/>
          <w:sz w:val="20"/>
          <w:szCs w:val="20"/>
        </w:rPr>
        <w:t xml:space="preserve">49. </w:t>
      </w:r>
      <w:bookmarkEnd w:id="48"/>
      <w:r>
        <w:fldChar w:fldCharType="begin"/>
      </w:r>
      <w:r>
        <w:instrText>HYPERLINK "https://www.epa.gov/nutrientpollution/effects-dead-zones-and-harmful-algal-blooms"</w:instrText>
      </w:r>
      <w:r>
        <w:fldChar w:fldCharType="separate"/>
      </w:r>
      <w:r>
        <w:rPr>
          <w:color w:val="1A5FB4"/>
          <w:sz w:val="18"/>
          <w:szCs w:val="18"/>
          <w:u w:val="single"/>
        </w:rPr>
        <w:t>https://www.epa.gov/nutrientpollution/effects-dead-zones-and-harmful-algal-blooms</w:t>
      </w:r>
      <w:r>
        <w:fldChar w:fldCharType="end"/>
      </w:r>
    </w:p>
    <w:p w14:paraId="354BE11A" w14:textId="77777777" w:rsidR="00421FEF" w:rsidRDefault="006976E9">
      <w:pPr>
        <w:spacing w:after="60" w:line="252" w:lineRule="auto"/>
        <w:ind w:left="510" w:hanging="510"/>
      </w:pPr>
      <w:bookmarkStart w:id="49" w:name="ref50"/>
      <w:r>
        <w:rPr>
          <w:b/>
          <w:bCs/>
          <w:color w:val="1B5E20"/>
          <w:sz w:val="20"/>
          <w:szCs w:val="20"/>
        </w:rPr>
        <w:t xml:space="preserve">50. </w:t>
      </w:r>
      <w:bookmarkEnd w:id="49"/>
      <w:r>
        <w:fldChar w:fldCharType="begin"/>
      </w:r>
      <w:r>
        <w:instrText>HYPERLINK "https://www.fluencecorp.com/agricultural-runoff-fuels-gulf-dead-zones/"</w:instrText>
      </w:r>
      <w:r>
        <w:fldChar w:fldCharType="separate"/>
      </w:r>
      <w:r>
        <w:rPr>
          <w:color w:val="1A5FB4"/>
          <w:sz w:val="18"/>
          <w:szCs w:val="18"/>
          <w:u w:val="single"/>
        </w:rPr>
        <w:t>https://www.fluencecorp.com/agricultural-runoff-fuels-gulf-dead-zones/</w:t>
      </w:r>
      <w:r>
        <w:fldChar w:fldCharType="end"/>
      </w:r>
    </w:p>
    <w:p w14:paraId="354BE11B" w14:textId="77777777" w:rsidR="00421FEF" w:rsidRDefault="006976E9">
      <w:pPr>
        <w:spacing w:after="60" w:line="252" w:lineRule="auto"/>
        <w:ind w:left="510" w:hanging="510"/>
      </w:pPr>
      <w:bookmarkStart w:id="50" w:name="ref51"/>
      <w:r>
        <w:rPr>
          <w:b/>
          <w:bCs/>
          <w:color w:val="1B5E20"/>
          <w:sz w:val="20"/>
          <w:szCs w:val="20"/>
        </w:rPr>
        <w:t xml:space="preserve">51. </w:t>
      </w:r>
      <w:bookmarkEnd w:id="50"/>
      <w:r>
        <w:fldChar w:fldCharType="begin"/>
      </w:r>
      <w:r>
        <w:instrText>HYPERLINK "https://www.epa.gov/nutrientpollution/effects-dead-zones-and-harmful-algal-blooms"</w:instrText>
      </w:r>
      <w:r>
        <w:fldChar w:fldCharType="separate"/>
      </w:r>
      <w:r>
        <w:rPr>
          <w:color w:val="1A5FB4"/>
          <w:sz w:val="18"/>
          <w:szCs w:val="18"/>
          <w:u w:val="single"/>
        </w:rPr>
        <w:t>https://www.epa.gov/nutrientpollution/effects-dead-zones-and-harmful-algal-blooms</w:t>
      </w:r>
      <w:r>
        <w:fldChar w:fldCharType="end"/>
      </w:r>
    </w:p>
    <w:p w14:paraId="354BE11C" w14:textId="77777777" w:rsidR="00421FEF" w:rsidRDefault="006976E9">
      <w:pPr>
        <w:spacing w:after="60" w:line="252" w:lineRule="auto"/>
        <w:ind w:left="510" w:hanging="510"/>
      </w:pPr>
      <w:bookmarkStart w:id="51" w:name="ref52"/>
      <w:r>
        <w:rPr>
          <w:b/>
          <w:bCs/>
          <w:color w:val="1B5E20"/>
          <w:sz w:val="20"/>
          <w:szCs w:val="20"/>
        </w:rPr>
        <w:t xml:space="preserve">52. </w:t>
      </w:r>
      <w:bookmarkEnd w:id="51"/>
      <w:r>
        <w:fldChar w:fldCharType="begin"/>
      </w:r>
      <w:r>
        <w:instrText>HYPERLINK "https://www.pbs.org/newshour/science/animal-extinctions"</w:instrText>
      </w:r>
      <w:r>
        <w:fldChar w:fldCharType="separate"/>
      </w:r>
      <w:r>
        <w:rPr>
          <w:color w:val="1A5FB4"/>
          <w:sz w:val="18"/>
          <w:szCs w:val="18"/>
          <w:u w:val="single"/>
        </w:rPr>
        <w:t>https://www.pbs.org/newshour/science/animal-extinctions</w:t>
      </w:r>
      <w:r>
        <w:fldChar w:fldCharType="end"/>
      </w:r>
    </w:p>
    <w:p w14:paraId="354BE11D" w14:textId="77777777" w:rsidR="00421FEF" w:rsidRDefault="006976E9">
      <w:pPr>
        <w:spacing w:after="60" w:line="252" w:lineRule="auto"/>
        <w:ind w:left="510" w:hanging="510"/>
      </w:pPr>
      <w:bookmarkStart w:id="52" w:name="ref53"/>
      <w:r>
        <w:rPr>
          <w:b/>
          <w:bCs/>
          <w:color w:val="1B5E20"/>
          <w:sz w:val="20"/>
          <w:szCs w:val="20"/>
        </w:rPr>
        <w:t xml:space="preserve">53. </w:t>
      </w:r>
      <w:bookmarkEnd w:id="52"/>
      <w:r>
        <w:fldChar w:fldCharType="begin"/>
      </w:r>
      <w:r>
        <w:instrText>HYPERLINK "https://www.un.org/sustainabledevelopment/blog/2019/05/nature-decline-unprecedented-report/"</w:instrText>
      </w:r>
      <w:r>
        <w:fldChar w:fldCharType="separate"/>
      </w:r>
      <w:r>
        <w:rPr>
          <w:color w:val="1A5FB4"/>
          <w:sz w:val="18"/>
          <w:szCs w:val="18"/>
          <w:u w:val="single"/>
        </w:rPr>
        <w:t>https://www.un.org/sustainabledevelopment/blog/2019/05/nature-decline-unprecedented-report/</w:t>
      </w:r>
      <w:r>
        <w:fldChar w:fldCharType="end"/>
      </w:r>
    </w:p>
    <w:p w14:paraId="354BE11E" w14:textId="77777777" w:rsidR="00421FEF" w:rsidRDefault="006976E9">
      <w:pPr>
        <w:spacing w:after="60" w:line="252" w:lineRule="auto"/>
        <w:ind w:left="510" w:hanging="510"/>
      </w:pPr>
      <w:bookmarkStart w:id="53" w:name="ref54"/>
      <w:r>
        <w:rPr>
          <w:b/>
          <w:bCs/>
          <w:color w:val="1B5E20"/>
          <w:sz w:val="20"/>
          <w:szCs w:val="20"/>
        </w:rPr>
        <w:t xml:space="preserve">54. </w:t>
      </w:r>
      <w:bookmarkEnd w:id="53"/>
      <w:r>
        <w:fldChar w:fldCharType="begin"/>
      </w:r>
      <w:r>
        <w:instrText>HYPERLINK "https://www.un.org/sustainabledevelopment/blog/2019/05/nature-decline-unprecedented-report/"</w:instrText>
      </w:r>
      <w:r>
        <w:fldChar w:fldCharType="separate"/>
      </w:r>
      <w:r>
        <w:rPr>
          <w:color w:val="1A5FB4"/>
          <w:sz w:val="18"/>
          <w:szCs w:val="18"/>
          <w:u w:val="single"/>
        </w:rPr>
        <w:t>https://www.un.org/sustainabledevelopment/blog/2019/05/nature-decline-unprecedented-report/</w:t>
      </w:r>
      <w:r>
        <w:fldChar w:fldCharType="end"/>
      </w:r>
    </w:p>
    <w:p w14:paraId="354BE11F" w14:textId="77777777" w:rsidR="00421FEF" w:rsidRDefault="006976E9">
      <w:pPr>
        <w:spacing w:after="60" w:line="252" w:lineRule="auto"/>
        <w:ind w:left="510" w:hanging="510"/>
      </w:pPr>
      <w:bookmarkStart w:id="54" w:name="ref55"/>
      <w:r>
        <w:rPr>
          <w:b/>
          <w:bCs/>
          <w:color w:val="1B5E20"/>
          <w:sz w:val="20"/>
          <w:szCs w:val="20"/>
        </w:rPr>
        <w:t xml:space="preserve">55. </w:t>
      </w:r>
      <w:bookmarkEnd w:id="54"/>
      <w:r>
        <w:fldChar w:fldCharType="begin"/>
      </w:r>
      <w:r>
        <w:instrText>HYPERLINK "https://sustain.ucla.edu/food-systems/the-case-for-plant-based/"</w:instrText>
      </w:r>
      <w:r>
        <w:fldChar w:fldCharType="separate"/>
      </w:r>
      <w:r>
        <w:rPr>
          <w:color w:val="1A5FB4"/>
          <w:sz w:val="18"/>
          <w:szCs w:val="18"/>
          <w:u w:val="single"/>
        </w:rPr>
        <w:t>https://sustain.ucla.edu/food-systems/the-case-for-plant-based/</w:t>
      </w:r>
      <w:r>
        <w:fldChar w:fldCharType="end"/>
      </w:r>
    </w:p>
    <w:p w14:paraId="354BE120" w14:textId="77777777" w:rsidR="00421FEF" w:rsidRDefault="006976E9">
      <w:pPr>
        <w:spacing w:after="60" w:line="252" w:lineRule="auto"/>
        <w:ind w:left="510" w:hanging="510"/>
      </w:pPr>
      <w:bookmarkStart w:id="55" w:name="ref56"/>
      <w:r>
        <w:rPr>
          <w:b/>
          <w:bCs/>
          <w:color w:val="1B5E20"/>
          <w:sz w:val="20"/>
          <w:szCs w:val="20"/>
        </w:rPr>
        <w:t xml:space="preserve">56. </w:t>
      </w:r>
      <w:bookmarkEnd w:id="55"/>
      <w:r>
        <w:fldChar w:fldCharType="begin"/>
      </w:r>
      <w:r>
        <w:instrText>HYPERLINK "https://www.thecattlesite.com/news/49594/how-much-water-does-it-take-to-produce-meat/"</w:instrText>
      </w:r>
      <w:r>
        <w:fldChar w:fldCharType="separate"/>
      </w:r>
      <w:r>
        <w:rPr>
          <w:color w:val="1A5FB4"/>
          <w:sz w:val="18"/>
          <w:szCs w:val="18"/>
          <w:u w:val="single"/>
        </w:rPr>
        <w:t>https://www.thecattlesite.com/news/49594/how-much-water-does-it-take-to-produce-meat/</w:t>
      </w:r>
      <w:r>
        <w:fldChar w:fldCharType="end"/>
      </w:r>
    </w:p>
    <w:p w14:paraId="354BE121" w14:textId="77777777" w:rsidR="00421FEF" w:rsidRDefault="006976E9">
      <w:pPr>
        <w:spacing w:after="60" w:line="252" w:lineRule="auto"/>
        <w:ind w:left="510" w:hanging="510"/>
      </w:pPr>
      <w:bookmarkStart w:id="56" w:name="ref57"/>
      <w:r>
        <w:rPr>
          <w:b/>
          <w:bCs/>
          <w:color w:val="1B5E20"/>
          <w:sz w:val="20"/>
          <w:szCs w:val="20"/>
        </w:rPr>
        <w:t xml:space="preserve">57. </w:t>
      </w:r>
      <w:bookmarkEnd w:id="56"/>
      <w:r>
        <w:fldChar w:fldCharType="begin"/>
      </w:r>
      <w:r>
        <w:instrText>HYPERLINK "https://www.pcrm.org/good-nutrition/vegan-diet-environment"</w:instrText>
      </w:r>
      <w:r>
        <w:fldChar w:fldCharType="separate"/>
      </w:r>
      <w:r>
        <w:rPr>
          <w:color w:val="1A5FB4"/>
          <w:sz w:val="18"/>
          <w:szCs w:val="18"/>
          <w:u w:val="single"/>
        </w:rPr>
        <w:t>https://www.pcrm.org/good-nutrition/vegan-diet-environment</w:t>
      </w:r>
      <w:r>
        <w:fldChar w:fldCharType="end"/>
      </w:r>
    </w:p>
    <w:p w14:paraId="354BE122" w14:textId="77777777" w:rsidR="00421FEF" w:rsidRDefault="006976E9">
      <w:pPr>
        <w:spacing w:after="60" w:line="252" w:lineRule="auto"/>
        <w:ind w:left="510" w:hanging="510"/>
      </w:pPr>
      <w:bookmarkStart w:id="57" w:name="ref58"/>
      <w:r>
        <w:rPr>
          <w:b/>
          <w:bCs/>
          <w:color w:val="1B5E20"/>
          <w:sz w:val="20"/>
          <w:szCs w:val="20"/>
        </w:rPr>
        <w:t xml:space="preserve">58. </w:t>
      </w:r>
      <w:bookmarkEnd w:id="57"/>
      <w:r>
        <w:fldChar w:fldCharType="begin"/>
      </w:r>
      <w:r>
        <w:instrText>HYPERLINK "https://www.fao.org/documents/card/en/c/cc0461en"</w:instrText>
      </w:r>
      <w:r>
        <w:fldChar w:fldCharType="separate"/>
      </w:r>
      <w:r>
        <w:rPr>
          <w:color w:val="1A5FB4"/>
          <w:sz w:val="18"/>
          <w:szCs w:val="18"/>
          <w:u w:val="single"/>
        </w:rPr>
        <w:t>https://www.fao.org/documents/card/en/c/cc0461en</w:t>
      </w:r>
      <w:r>
        <w:fldChar w:fldCharType="end"/>
      </w:r>
    </w:p>
    <w:p w14:paraId="354BE123" w14:textId="77777777" w:rsidR="00421FEF" w:rsidRDefault="006976E9">
      <w:pPr>
        <w:spacing w:after="60" w:line="252" w:lineRule="auto"/>
        <w:ind w:left="510" w:hanging="510"/>
      </w:pPr>
      <w:bookmarkStart w:id="58" w:name="ref59"/>
      <w:r>
        <w:rPr>
          <w:b/>
          <w:bCs/>
          <w:color w:val="1B5E20"/>
          <w:sz w:val="20"/>
          <w:szCs w:val="20"/>
        </w:rPr>
        <w:t xml:space="preserve">59. </w:t>
      </w:r>
      <w:bookmarkEnd w:id="58"/>
      <w:r>
        <w:fldChar w:fldCharType="begin"/>
      </w:r>
      <w:r>
        <w:instrText>HYPERLINK "https://www.nature.com/articles/s41558-021-01062-9"</w:instrText>
      </w:r>
      <w:r>
        <w:fldChar w:fldCharType="separate"/>
      </w:r>
      <w:r>
        <w:rPr>
          <w:color w:val="1A5FB4"/>
          <w:sz w:val="18"/>
          <w:szCs w:val="18"/>
          <w:u w:val="single"/>
        </w:rPr>
        <w:t>https://www.nature.com/articles/s41558-021-01062-9</w:t>
      </w:r>
      <w:r>
        <w:fldChar w:fldCharType="end"/>
      </w:r>
    </w:p>
    <w:p w14:paraId="354BE124" w14:textId="77777777" w:rsidR="00421FEF" w:rsidRDefault="006976E9">
      <w:pPr>
        <w:spacing w:after="60" w:line="252" w:lineRule="auto"/>
        <w:ind w:left="510" w:hanging="510"/>
      </w:pPr>
      <w:bookmarkStart w:id="59" w:name="ref60"/>
      <w:r>
        <w:rPr>
          <w:b/>
          <w:bCs/>
          <w:color w:val="1B5E20"/>
          <w:sz w:val="20"/>
          <w:szCs w:val="20"/>
        </w:rPr>
        <w:t xml:space="preserve">60. </w:t>
      </w:r>
      <w:bookmarkEnd w:id="59"/>
      <w:r>
        <w:fldChar w:fldCharType="begin"/>
      </w:r>
      <w:r>
        <w:instrText>HYPERLINK "https://www.fisheries.noaa.gov/insight/understanding-bycatch"</w:instrText>
      </w:r>
      <w:r>
        <w:fldChar w:fldCharType="separate"/>
      </w:r>
      <w:r>
        <w:rPr>
          <w:color w:val="1A5FB4"/>
          <w:sz w:val="18"/>
          <w:szCs w:val="18"/>
          <w:u w:val="single"/>
        </w:rPr>
        <w:t>https://www.fisheries.noaa.gov/insight/understanding-bycatch</w:t>
      </w:r>
      <w:r>
        <w:fldChar w:fldCharType="end"/>
      </w:r>
    </w:p>
    <w:p w14:paraId="354BE125" w14:textId="77777777" w:rsidR="00421FEF" w:rsidRDefault="006976E9">
      <w:pPr>
        <w:spacing w:after="60" w:line="252" w:lineRule="auto"/>
        <w:ind w:left="510" w:hanging="510"/>
      </w:pPr>
      <w:bookmarkStart w:id="60" w:name="ref61"/>
      <w:r>
        <w:rPr>
          <w:b/>
          <w:bCs/>
          <w:color w:val="1B5E20"/>
          <w:sz w:val="20"/>
          <w:szCs w:val="20"/>
        </w:rPr>
        <w:t xml:space="preserve">61. </w:t>
      </w:r>
      <w:bookmarkEnd w:id="60"/>
      <w:r>
        <w:fldChar w:fldCharType="begin"/>
      </w:r>
      <w:r>
        <w:instrText>HYPERLINK "https://onlinelibrary.wiley.com/doi/full/10.1002/aro2.65"</w:instrText>
      </w:r>
      <w:r>
        <w:fldChar w:fldCharType="separate"/>
      </w:r>
      <w:r>
        <w:rPr>
          <w:color w:val="1A5FB4"/>
          <w:sz w:val="18"/>
          <w:szCs w:val="18"/>
          <w:u w:val="single"/>
        </w:rPr>
        <w:t>https://onlinelibrary.wiley.com/doi/full/10.1002/aro2.65</w:t>
      </w:r>
      <w:r>
        <w:fldChar w:fldCharType="end"/>
      </w:r>
    </w:p>
    <w:p w14:paraId="354BE126" w14:textId="77777777" w:rsidR="00421FEF" w:rsidRDefault="006976E9">
      <w:pPr>
        <w:spacing w:after="60" w:line="252" w:lineRule="auto"/>
        <w:ind w:left="510" w:hanging="510"/>
      </w:pPr>
      <w:bookmarkStart w:id="61" w:name="ref62"/>
      <w:r>
        <w:rPr>
          <w:b/>
          <w:bCs/>
          <w:color w:val="1B5E20"/>
          <w:sz w:val="20"/>
          <w:szCs w:val="20"/>
        </w:rPr>
        <w:t xml:space="preserve">62. </w:t>
      </w:r>
      <w:bookmarkEnd w:id="61"/>
      <w:r>
        <w:fldChar w:fldCharType="begin"/>
      </w:r>
      <w:r>
        <w:instrText>HYPERLINK "https://ourworldindata.org/data-insights/billions-of-chickens-ducks-and-pigs-are-slaughtered-for-meat-every-year"</w:instrText>
      </w:r>
      <w:r>
        <w:fldChar w:fldCharType="separate"/>
      </w:r>
      <w:r>
        <w:rPr>
          <w:color w:val="1A5FB4"/>
          <w:sz w:val="18"/>
          <w:szCs w:val="18"/>
          <w:u w:val="single"/>
        </w:rPr>
        <w:t>https://ourworldindata.org/data-insights/billions-of-chickens-ducks-and-pigs-are-slaughtered-for-meat-every-year</w:t>
      </w:r>
      <w:r>
        <w:fldChar w:fldCharType="end"/>
      </w:r>
    </w:p>
    <w:p w14:paraId="354BE127" w14:textId="77777777" w:rsidR="00421FEF" w:rsidRDefault="006976E9">
      <w:pPr>
        <w:spacing w:after="60" w:line="252" w:lineRule="auto"/>
        <w:ind w:left="510" w:hanging="510"/>
      </w:pPr>
      <w:bookmarkStart w:id="62" w:name="ref63"/>
      <w:r>
        <w:rPr>
          <w:b/>
          <w:bCs/>
          <w:color w:val="1B5E20"/>
          <w:sz w:val="20"/>
          <w:szCs w:val="20"/>
        </w:rPr>
        <w:t xml:space="preserve">63. </w:t>
      </w:r>
      <w:bookmarkEnd w:id="62"/>
      <w:r>
        <w:fldChar w:fldCharType="begin"/>
      </w:r>
      <w:r>
        <w:instrText>HYPERLINK "https://pmc.ncbi.nlm.nih.gov/articles/PMC10936281/"</w:instrText>
      </w:r>
      <w:r>
        <w:fldChar w:fldCharType="separate"/>
      </w:r>
      <w:r>
        <w:rPr>
          <w:color w:val="1A5FB4"/>
          <w:sz w:val="18"/>
          <w:szCs w:val="18"/>
          <w:u w:val="single"/>
        </w:rPr>
        <w:t>https://pmc.ncbi.nlm.nih.gov/articles/PMC10936281/</w:t>
      </w:r>
      <w:r>
        <w:fldChar w:fldCharType="end"/>
      </w:r>
    </w:p>
    <w:p w14:paraId="354BE128" w14:textId="77777777" w:rsidR="00421FEF" w:rsidRDefault="006976E9">
      <w:pPr>
        <w:spacing w:after="60" w:line="252" w:lineRule="auto"/>
        <w:ind w:left="510" w:hanging="510"/>
      </w:pPr>
      <w:bookmarkStart w:id="63" w:name="ref64"/>
      <w:r>
        <w:rPr>
          <w:b/>
          <w:bCs/>
          <w:color w:val="1B5E20"/>
          <w:sz w:val="20"/>
          <w:szCs w:val="20"/>
        </w:rPr>
        <w:t xml:space="preserve">64. </w:t>
      </w:r>
      <w:bookmarkEnd w:id="63"/>
      <w:r>
        <w:fldChar w:fldCharType="begin"/>
      </w:r>
      <w:r>
        <w:instrText>HYPERLINK "https://www.worldanimalprotection.ca/our-work/reports-library/factory-farming-index"</w:instrText>
      </w:r>
      <w:r>
        <w:fldChar w:fldCharType="separate"/>
      </w:r>
      <w:r>
        <w:rPr>
          <w:color w:val="1A5FB4"/>
          <w:sz w:val="18"/>
          <w:szCs w:val="18"/>
          <w:u w:val="single"/>
        </w:rPr>
        <w:t>https://www.worldanimalprotection.ca/our-work/reports-library/factory-farming-index</w:t>
      </w:r>
      <w:r>
        <w:fldChar w:fldCharType="end"/>
      </w:r>
    </w:p>
    <w:p w14:paraId="354BE129" w14:textId="77777777" w:rsidR="00421FEF" w:rsidRDefault="006976E9">
      <w:pPr>
        <w:spacing w:after="60" w:line="252" w:lineRule="auto"/>
        <w:ind w:left="510" w:hanging="510"/>
      </w:pPr>
      <w:bookmarkStart w:id="64" w:name="ref65"/>
      <w:r>
        <w:rPr>
          <w:b/>
          <w:bCs/>
          <w:color w:val="1B5E20"/>
          <w:sz w:val="20"/>
          <w:szCs w:val="20"/>
        </w:rPr>
        <w:t xml:space="preserve">65. </w:t>
      </w:r>
      <w:bookmarkEnd w:id="64"/>
      <w:r>
        <w:fldChar w:fldCharType="begin"/>
      </w:r>
      <w:r>
        <w:instrText>HYPERLINK "https://www.sentienceinstitute.org/us-factory-farming-estimates"</w:instrText>
      </w:r>
      <w:r>
        <w:fldChar w:fldCharType="separate"/>
      </w:r>
      <w:r>
        <w:rPr>
          <w:color w:val="1A5FB4"/>
          <w:sz w:val="18"/>
          <w:szCs w:val="18"/>
          <w:u w:val="single"/>
        </w:rPr>
        <w:t>https://www.sentienceinstitute.org/us-factory-farming-estimates</w:t>
      </w:r>
      <w:r>
        <w:fldChar w:fldCharType="end"/>
      </w:r>
    </w:p>
    <w:p w14:paraId="354BE12A" w14:textId="77777777" w:rsidR="00421FEF" w:rsidRDefault="006976E9">
      <w:pPr>
        <w:spacing w:after="60" w:line="252" w:lineRule="auto"/>
        <w:ind w:left="510" w:hanging="510"/>
      </w:pPr>
      <w:bookmarkStart w:id="65" w:name="ref66"/>
      <w:r>
        <w:rPr>
          <w:b/>
          <w:bCs/>
          <w:color w:val="1B5E20"/>
          <w:sz w:val="20"/>
          <w:szCs w:val="20"/>
        </w:rPr>
        <w:t xml:space="preserve">66. </w:t>
      </w:r>
      <w:bookmarkEnd w:id="65"/>
      <w:r>
        <w:fldChar w:fldCharType="begin"/>
      </w:r>
      <w:r>
        <w:instrText>HYPERLINK "https://fcmconference.org/img/CambridgeDeclarationOnConsciousness.pdf"</w:instrText>
      </w:r>
      <w:r>
        <w:fldChar w:fldCharType="separate"/>
      </w:r>
      <w:r>
        <w:rPr>
          <w:color w:val="1A5FB4"/>
          <w:sz w:val="18"/>
          <w:szCs w:val="18"/>
          <w:u w:val="single"/>
        </w:rPr>
        <w:t>https://fcmconference.org/img/CambridgeDeclarationOnConsciousness.pdf</w:t>
      </w:r>
      <w:r>
        <w:fldChar w:fldCharType="end"/>
      </w:r>
    </w:p>
    <w:p w14:paraId="354BE12B" w14:textId="77777777" w:rsidR="00421FEF" w:rsidRDefault="006976E9">
      <w:pPr>
        <w:spacing w:after="60" w:line="252" w:lineRule="auto"/>
        <w:ind w:left="510" w:hanging="510"/>
      </w:pPr>
      <w:bookmarkStart w:id="66" w:name="ref67"/>
      <w:r>
        <w:rPr>
          <w:b/>
          <w:bCs/>
          <w:color w:val="1B5E20"/>
          <w:sz w:val="20"/>
          <w:szCs w:val="20"/>
        </w:rPr>
        <w:t xml:space="preserve">67. </w:t>
      </w:r>
      <w:bookmarkEnd w:id="66"/>
      <w:r>
        <w:fldChar w:fldCharType="begin"/>
      </w:r>
      <w:r>
        <w:instrText>HYPERLINK "https://sites.google.com/nyu.edu/nydeclaration/declaration"</w:instrText>
      </w:r>
      <w:r>
        <w:fldChar w:fldCharType="separate"/>
      </w:r>
      <w:r>
        <w:rPr>
          <w:color w:val="1A5FB4"/>
          <w:sz w:val="18"/>
          <w:szCs w:val="18"/>
          <w:u w:val="single"/>
        </w:rPr>
        <w:t>https://sites.google.com/nyu.edu/nydeclaration/declaration</w:t>
      </w:r>
      <w:r>
        <w:fldChar w:fldCharType="end"/>
      </w:r>
    </w:p>
    <w:p w14:paraId="354BE12C" w14:textId="77777777" w:rsidR="00421FEF" w:rsidRDefault="006976E9">
      <w:pPr>
        <w:spacing w:after="60" w:line="252" w:lineRule="auto"/>
        <w:ind w:left="510" w:hanging="510"/>
      </w:pPr>
      <w:bookmarkStart w:id="67" w:name="ref68"/>
      <w:r>
        <w:rPr>
          <w:b/>
          <w:bCs/>
          <w:color w:val="1B5E20"/>
          <w:sz w:val="20"/>
          <w:szCs w:val="20"/>
        </w:rPr>
        <w:t xml:space="preserve">68. </w:t>
      </w:r>
      <w:bookmarkEnd w:id="67"/>
      <w:r>
        <w:fldChar w:fldCharType="begin"/>
      </w:r>
      <w:r>
        <w:instrText>HYPERLINK "https://www.frontiersin.org/news/2021/02/11/frontiers-psychology-domestic-pigs-remarkably-intelligent-can-learn-play-video-games"</w:instrText>
      </w:r>
      <w:r>
        <w:fldChar w:fldCharType="separate"/>
      </w:r>
      <w:r>
        <w:rPr>
          <w:color w:val="1A5FB4"/>
          <w:sz w:val="18"/>
          <w:szCs w:val="18"/>
          <w:u w:val="single"/>
        </w:rPr>
        <w:t>https://www.frontiersin.org/news/2021/02/11/frontiers-psychology-domestic-pigs-remarkably-intelligent-can-learn-play-video-games</w:t>
      </w:r>
      <w:r>
        <w:fldChar w:fldCharType="end"/>
      </w:r>
    </w:p>
    <w:p w14:paraId="354BE12D" w14:textId="77777777" w:rsidR="00421FEF" w:rsidRDefault="006976E9">
      <w:pPr>
        <w:spacing w:after="60" w:line="252" w:lineRule="auto"/>
        <w:ind w:left="510" w:hanging="510"/>
      </w:pPr>
      <w:bookmarkStart w:id="68" w:name="ref69"/>
      <w:r>
        <w:rPr>
          <w:b/>
          <w:bCs/>
          <w:color w:val="1B5E20"/>
          <w:sz w:val="20"/>
          <w:szCs w:val="20"/>
        </w:rPr>
        <w:t xml:space="preserve">69. </w:t>
      </w:r>
      <w:bookmarkEnd w:id="68"/>
      <w:r>
        <w:fldChar w:fldCharType="begin"/>
      </w:r>
      <w:r>
        <w:instrText>HYPERLINK "https://pmc.ncbi.nlm.nih.gov/articles/PMC7928376/"</w:instrText>
      </w:r>
      <w:r>
        <w:fldChar w:fldCharType="separate"/>
      </w:r>
      <w:r>
        <w:rPr>
          <w:color w:val="1A5FB4"/>
          <w:sz w:val="18"/>
          <w:szCs w:val="18"/>
          <w:u w:val="single"/>
        </w:rPr>
        <w:t>https://pmc.ncbi.nlm.nih.gov/articles/PMC7928376/</w:t>
      </w:r>
      <w:r>
        <w:fldChar w:fldCharType="end"/>
      </w:r>
    </w:p>
    <w:p w14:paraId="354BE12E" w14:textId="77777777" w:rsidR="00421FEF" w:rsidRDefault="006976E9">
      <w:pPr>
        <w:spacing w:after="60" w:line="252" w:lineRule="auto"/>
        <w:ind w:left="510" w:hanging="510"/>
      </w:pPr>
      <w:bookmarkStart w:id="69" w:name="ref70"/>
      <w:r>
        <w:rPr>
          <w:b/>
          <w:bCs/>
          <w:color w:val="1B5E20"/>
          <w:sz w:val="20"/>
          <w:szCs w:val="20"/>
        </w:rPr>
        <w:t xml:space="preserve">70. </w:t>
      </w:r>
      <w:bookmarkEnd w:id="69"/>
      <w:r>
        <w:fldChar w:fldCharType="begin"/>
      </w:r>
      <w:r>
        <w:instrText>HYPERLINK "https://pmc.ncbi.nlm.nih.gov/articles/PMC5306232/"</w:instrText>
      </w:r>
      <w:r>
        <w:fldChar w:fldCharType="separate"/>
      </w:r>
      <w:r>
        <w:rPr>
          <w:color w:val="1A5FB4"/>
          <w:sz w:val="18"/>
          <w:szCs w:val="18"/>
          <w:u w:val="single"/>
        </w:rPr>
        <w:t>https://pmc.ncbi.nlm.nih.gov/articles/PMC5306232/</w:t>
      </w:r>
      <w:r>
        <w:fldChar w:fldCharType="end"/>
      </w:r>
    </w:p>
    <w:p w14:paraId="354BE12F" w14:textId="77777777" w:rsidR="00421FEF" w:rsidRDefault="006976E9">
      <w:pPr>
        <w:spacing w:after="60" w:line="252" w:lineRule="auto"/>
        <w:ind w:left="510" w:hanging="510"/>
      </w:pPr>
      <w:bookmarkStart w:id="70" w:name="ref71"/>
      <w:r>
        <w:rPr>
          <w:b/>
          <w:bCs/>
          <w:color w:val="1B5E20"/>
          <w:sz w:val="20"/>
          <w:szCs w:val="20"/>
        </w:rPr>
        <w:t xml:space="preserve">71. </w:t>
      </w:r>
      <w:bookmarkEnd w:id="70"/>
      <w:r>
        <w:fldChar w:fldCharType="begin"/>
      </w:r>
      <w:r>
        <w:instrText>HYPERLINK "https://edgarsmission.org.au/eureka/"</w:instrText>
      </w:r>
      <w:r>
        <w:fldChar w:fldCharType="separate"/>
      </w:r>
      <w:r>
        <w:rPr>
          <w:color w:val="1A5FB4"/>
          <w:sz w:val="18"/>
          <w:szCs w:val="18"/>
          <w:u w:val="single"/>
        </w:rPr>
        <w:t>https://edgarsmission.org.au/eureka/</w:t>
      </w:r>
      <w:r>
        <w:fldChar w:fldCharType="end"/>
      </w:r>
    </w:p>
    <w:p w14:paraId="354BE130" w14:textId="77777777" w:rsidR="00421FEF" w:rsidRDefault="006976E9">
      <w:pPr>
        <w:spacing w:after="60" w:line="252" w:lineRule="auto"/>
        <w:ind w:left="510" w:hanging="510"/>
      </w:pPr>
      <w:bookmarkStart w:id="71" w:name="ref72"/>
      <w:r>
        <w:rPr>
          <w:b/>
          <w:bCs/>
          <w:color w:val="1B5E20"/>
          <w:sz w:val="20"/>
          <w:szCs w:val="20"/>
        </w:rPr>
        <w:t xml:space="preserve">72. </w:t>
      </w:r>
      <w:bookmarkEnd w:id="71"/>
      <w:r>
        <w:fldChar w:fldCharType="begin"/>
      </w:r>
      <w:r>
        <w:instrText>HYPERLINK "https://www.worldanimalprotection.ca/our-work/reports-library/factory-farming-index"</w:instrText>
      </w:r>
      <w:r>
        <w:fldChar w:fldCharType="separate"/>
      </w:r>
      <w:r>
        <w:rPr>
          <w:color w:val="1A5FB4"/>
          <w:sz w:val="18"/>
          <w:szCs w:val="18"/>
          <w:u w:val="single"/>
        </w:rPr>
        <w:t>https://www.worldanimalprotection.ca/our-work/reports-library/factory-farming-index</w:t>
      </w:r>
      <w:r>
        <w:fldChar w:fldCharType="end"/>
      </w:r>
    </w:p>
    <w:p w14:paraId="354BE131" w14:textId="77777777" w:rsidR="00421FEF" w:rsidRDefault="006976E9">
      <w:pPr>
        <w:spacing w:after="60" w:line="252" w:lineRule="auto"/>
        <w:ind w:left="510" w:hanging="510"/>
      </w:pPr>
      <w:bookmarkStart w:id="72" w:name="ref73"/>
      <w:r>
        <w:rPr>
          <w:b/>
          <w:bCs/>
          <w:color w:val="1B5E20"/>
          <w:sz w:val="20"/>
          <w:szCs w:val="20"/>
        </w:rPr>
        <w:t xml:space="preserve">73. </w:t>
      </w:r>
      <w:bookmarkEnd w:id="72"/>
      <w:r>
        <w:fldChar w:fldCharType="begin"/>
      </w:r>
      <w:r>
        <w:instrText>HYPERLINK "https://www.sentienceinstitute.org/us-factory-farming-estimates"</w:instrText>
      </w:r>
      <w:r>
        <w:fldChar w:fldCharType="separate"/>
      </w:r>
      <w:r>
        <w:rPr>
          <w:color w:val="1A5FB4"/>
          <w:sz w:val="18"/>
          <w:szCs w:val="18"/>
          <w:u w:val="single"/>
        </w:rPr>
        <w:t>https://www.sentienceinstitute.org/us-factory-farming-estimates</w:t>
      </w:r>
      <w:r>
        <w:fldChar w:fldCharType="end"/>
      </w:r>
    </w:p>
    <w:p w14:paraId="354BE132" w14:textId="77777777" w:rsidR="00421FEF" w:rsidRDefault="006976E9">
      <w:pPr>
        <w:spacing w:after="60" w:line="252" w:lineRule="auto"/>
        <w:ind w:left="510" w:hanging="510"/>
      </w:pPr>
      <w:bookmarkStart w:id="73" w:name="ref74"/>
      <w:r>
        <w:rPr>
          <w:b/>
          <w:bCs/>
          <w:color w:val="1B5E20"/>
          <w:sz w:val="20"/>
          <w:szCs w:val="20"/>
        </w:rPr>
        <w:t xml:space="preserve">74. </w:t>
      </w:r>
      <w:bookmarkEnd w:id="73"/>
      <w:r>
        <w:fldChar w:fldCharType="begin"/>
      </w:r>
      <w:r>
        <w:instrText>HYPERLINK "https://www.rspca.org.uk/documents/1494939/7712578/FAD-Meat-Chickens-Information-Sheet-2022.pdf"</w:instrText>
      </w:r>
      <w:r>
        <w:fldChar w:fldCharType="separate"/>
      </w:r>
      <w:r>
        <w:rPr>
          <w:color w:val="1A5FB4"/>
          <w:sz w:val="18"/>
          <w:szCs w:val="18"/>
          <w:u w:val="single"/>
        </w:rPr>
        <w:t>https://www.rspca.org.uk/documents/1494939/7712578/FAD-Meat-Chickens-Information-Sheet-2022.pdf</w:t>
      </w:r>
      <w:r>
        <w:fldChar w:fldCharType="end"/>
      </w:r>
    </w:p>
    <w:p w14:paraId="354BE133" w14:textId="77777777" w:rsidR="00421FEF" w:rsidRDefault="006976E9">
      <w:pPr>
        <w:spacing w:after="60" w:line="252" w:lineRule="auto"/>
        <w:ind w:left="510" w:hanging="510"/>
      </w:pPr>
      <w:bookmarkStart w:id="74" w:name="ref75"/>
      <w:r>
        <w:rPr>
          <w:b/>
          <w:bCs/>
          <w:color w:val="1B5E20"/>
          <w:sz w:val="20"/>
          <w:szCs w:val="20"/>
        </w:rPr>
        <w:lastRenderedPageBreak/>
        <w:t xml:space="preserve">75. </w:t>
      </w:r>
      <w:bookmarkEnd w:id="74"/>
      <w:r>
        <w:fldChar w:fldCharType="begin"/>
      </w:r>
      <w:r>
        <w:instrText>HYPERLINK "https://www.aspca.org/protecting-farm-animals/animals-factory-farms"</w:instrText>
      </w:r>
      <w:r>
        <w:fldChar w:fldCharType="separate"/>
      </w:r>
      <w:r>
        <w:rPr>
          <w:color w:val="1A5FB4"/>
          <w:sz w:val="18"/>
          <w:szCs w:val="18"/>
          <w:u w:val="single"/>
        </w:rPr>
        <w:t>https://www.aspca.org/protecting-farm-animals/animals-factory-farms</w:t>
      </w:r>
      <w:r>
        <w:fldChar w:fldCharType="end"/>
      </w:r>
    </w:p>
    <w:p w14:paraId="354BE134" w14:textId="77777777" w:rsidR="00421FEF" w:rsidRDefault="006976E9">
      <w:pPr>
        <w:spacing w:after="60" w:line="252" w:lineRule="auto"/>
        <w:ind w:left="510" w:hanging="510"/>
      </w:pPr>
      <w:bookmarkStart w:id="75" w:name="ref76"/>
      <w:r>
        <w:rPr>
          <w:b/>
          <w:bCs/>
          <w:color w:val="1B5E20"/>
          <w:sz w:val="20"/>
          <w:szCs w:val="20"/>
        </w:rPr>
        <w:t xml:space="preserve">76. </w:t>
      </w:r>
      <w:bookmarkEnd w:id="75"/>
      <w:r>
        <w:fldChar w:fldCharType="begin"/>
      </w:r>
      <w:r>
        <w:instrText>HYPERLINK "https://www.sentienceinstitute.org/us-factory-farming-estimates"</w:instrText>
      </w:r>
      <w:r>
        <w:fldChar w:fldCharType="separate"/>
      </w:r>
      <w:r>
        <w:rPr>
          <w:color w:val="1A5FB4"/>
          <w:sz w:val="18"/>
          <w:szCs w:val="18"/>
          <w:u w:val="single"/>
        </w:rPr>
        <w:t>https://www.sentienceinstitute.org/us-factory-farming-estimates</w:t>
      </w:r>
      <w:r>
        <w:fldChar w:fldCharType="end"/>
      </w:r>
    </w:p>
    <w:p w14:paraId="354BE135" w14:textId="77777777" w:rsidR="00421FEF" w:rsidRDefault="006976E9">
      <w:pPr>
        <w:spacing w:after="60" w:line="252" w:lineRule="auto"/>
        <w:ind w:left="510" w:hanging="510"/>
      </w:pPr>
      <w:bookmarkStart w:id="76" w:name="ref77"/>
      <w:r>
        <w:rPr>
          <w:b/>
          <w:bCs/>
          <w:color w:val="1B5E20"/>
          <w:sz w:val="20"/>
          <w:szCs w:val="20"/>
        </w:rPr>
        <w:t xml:space="preserve">77. </w:t>
      </w:r>
      <w:bookmarkEnd w:id="76"/>
      <w:r>
        <w:fldChar w:fldCharType="begin"/>
      </w:r>
      <w:r>
        <w:instrText>HYPERLINK "https://ourworldindata.org/do-better-cages-or-cage-free-environments-really-improve-the-lives-of-hens"</w:instrText>
      </w:r>
      <w:r>
        <w:fldChar w:fldCharType="separate"/>
      </w:r>
      <w:r>
        <w:rPr>
          <w:color w:val="1A5FB4"/>
          <w:sz w:val="18"/>
          <w:szCs w:val="18"/>
          <w:u w:val="single"/>
        </w:rPr>
        <w:t>https://ourworldindata.org/do-better-cages-or-cage-free-environments-really-improve-the-lives-of-hens</w:t>
      </w:r>
      <w:r>
        <w:fldChar w:fldCharType="end"/>
      </w:r>
    </w:p>
    <w:p w14:paraId="354BE136" w14:textId="77777777" w:rsidR="00421FEF" w:rsidRDefault="006976E9">
      <w:pPr>
        <w:spacing w:after="60" w:line="252" w:lineRule="auto"/>
        <w:ind w:left="510" w:hanging="510"/>
      </w:pPr>
      <w:bookmarkStart w:id="77" w:name="ref78"/>
      <w:r>
        <w:rPr>
          <w:b/>
          <w:bCs/>
          <w:color w:val="1B5E20"/>
          <w:sz w:val="20"/>
          <w:szCs w:val="20"/>
        </w:rPr>
        <w:t xml:space="preserve">78. </w:t>
      </w:r>
      <w:bookmarkEnd w:id="77"/>
      <w:r>
        <w:fldChar w:fldCharType="begin"/>
      </w:r>
      <w:r>
        <w:instrText>HYPERLINK "https://www.sentienceinstitute.org/us-factory-farming-estimates"</w:instrText>
      </w:r>
      <w:r>
        <w:fldChar w:fldCharType="separate"/>
      </w:r>
      <w:r>
        <w:rPr>
          <w:color w:val="1A5FB4"/>
          <w:sz w:val="18"/>
          <w:szCs w:val="18"/>
          <w:u w:val="single"/>
        </w:rPr>
        <w:t>https://www.sentienceinstitute.org/us-factory-farming-estimates</w:t>
      </w:r>
      <w:r>
        <w:fldChar w:fldCharType="end"/>
      </w:r>
    </w:p>
    <w:p w14:paraId="354BE137" w14:textId="77777777" w:rsidR="00421FEF" w:rsidRDefault="006976E9">
      <w:pPr>
        <w:spacing w:after="60" w:line="252" w:lineRule="auto"/>
        <w:ind w:left="510" w:hanging="510"/>
      </w:pPr>
      <w:bookmarkStart w:id="78" w:name="ref79"/>
      <w:r>
        <w:rPr>
          <w:b/>
          <w:bCs/>
          <w:color w:val="1B5E20"/>
          <w:sz w:val="20"/>
          <w:szCs w:val="20"/>
        </w:rPr>
        <w:t xml:space="preserve">79. </w:t>
      </w:r>
      <w:bookmarkEnd w:id="78"/>
      <w:r>
        <w:fldChar w:fldCharType="begin"/>
      </w:r>
      <w:r>
        <w:instrText>HYPERLINK "https://www.humaneworld.org/en/what-are-gestation-crates"</w:instrText>
      </w:r>
      <w:r>
        <w:fldChar w:fldCharType="separate"/>
      </w:r>
      <w:r>
        <w:rPr>
          <w:color w:val="1A5FB4"/>
          <w:sz w:val="18"/>
          <w:szCs w:val="18"/>
          <w:u w:val="single"/>
        </w:rPr>
        <w:t>https://www.humaneworld.org/en/what-are-gestation-crates</w:t>
      </w:r>
      <w:r>
        <w:fldChar w:fldCharType="end"/>
      </w:r>
    </w:p>
    <w:p w14:paraId="354BE138" w14:textId="77777777" w:rsidR="00421FEF" w:rsidRDefault="006976E9">
      <w:pPr>
        <w:spacing w:after="60" w:line="252" w:lineRule="auto"/>
        <w:ind w:left="510" w:hanging="510"/>
      </w:pPr>
      <w:bookmarkStart w:id="79" w:name="ref80"/>
      <w:r>
        <w:rPr>
          <w:b/>
          <w:bCs/>
          <w:color w:val="1B5E20"/>
          <w:sz w:val="20"/>
          <w:szCs w:val="20"/>
        </w:rPr>
        <w:t xml:space="preserve">80. </w:t>
      </w:r>
      <w:bookmarkEnd w:id="79"/>
      <w:r>
        <w:fldChar w:fldCharType="begin"/>
      </w:r>
      <w:r>
        <w:instrText>HYPERLINK "https://thehumaneleague.org/article/pig-gestation-crates"</w:instrText>
      </w:r>
      <w:r>
        <w:fldChar w:fldCharType="separate"/>
      </w:r>
      <w:r>
        <w:rPr>
          <w:color w:val="1A5FB4"/>
          <w:sz w:val="18"/>
          <w:szCs w:val="18"/>
          <w:u w:val="single"/>
        </w:rPr>
        <w:t>https://thehumaneleague.org/article/pig-gestation-crates</w:t>
      </w:r>
      <w:r>
        <w:fldChar w:fldCharType="end"/>
      </w:r>
    </w:p>
    <w:p w14:paraId="354BE139" w14:textId="77777777" w:rsidR="00421FEF" w:rsidRDefault="006976E9">
      <w:pPr>
        <w:spacing w:after="60" w:line="252" w:lineRule="auto"/>
        <w:ind w:left="510" w:hanging="510"/>
      </w:pPr>
      <w:bookmarkStart w:id="80" w:name="ref81"/>
      <w:r>
        <w:rPr>
          <w:b/>
          <w:bCs/>
          <w:color w:val="1B5E20"/>
          <w:sz w:val="20"/>
          <w:szCs w:val="20"/>
        </w:rPr>
        <w:t xml:space="preserve">81. </w:t>
      </w:r>
      <w:bookmarkEnd w:id="80"/>
      <w:r>
        <w:fldChar w:fldCharType="begin"/>
      </w:r>
      <w:r>
        <w:instrText>HYPERLINK "https://www.sentienceinstitute.org/us-factory-farming-estimates"</w:instrText>
      </w:r>
      <w:r>
        <w:fldChar w:fldCharType="separate"/>
      </w:r>
      <w:r>
        <w:rPr>
          <w:color w:val="1A5FB4"/>
          <w:sz w:val="18"/>
          <w:szCs w:val="18"/>
          <w:u w:val="single"/>
        </w:rPr>
        <w:t>https://www.sentienceinstitute.org/us-factory-farming-estimates</w:t>
      </w:r>
      <w:r>
        <w:fldChar w:fldCharType="end"/>
      </w:r>
    </w:p>
    <w:p w14:paraId="354BE13A" w14:textId="77777777" w:rsidR="00421FEF" w:rsidRDefault="006976E9">
      <w:pPr>
        <w:spacing w:after="60" w:line="252" w:lineRule="auto"/>
        <w:ind w:left="510" w:hanging="510"/>
      </w:pPr>
      <w:bookmarkStart w:id="81" w:name="ref82"/>
      <w:r>
        <w:rPr>
          <w:b/>
          <w:bCs/>
          <w:color w:val="1B5E20"/>
          <w:sz w:val="20"/>
          <w:szCs w:val="20"/>
        </w:rPr>
        <w:t xml:space="preserve">82. </w:t>
      </w:r>
      <w:bookmarkEnd w:id="81"/>
      <w:r>
        <w:fldChar w:fldCharType="begin"/>
      </w:r>
      <w:r>
        <w:instrText>HYPERLINK "https://www.peta.org/issues/animals-used-for-food/factory-farming/turkeys/turkey-industry/"</w:instrText>
      </w:r>
      <w:r>
        <w:fldChar w:fldCharType="separate"/>
      </w:r>
      <w:r>
        <w:rPr>
          <w:color w:val="1A5FB4"/>
          <w:sz w:val="18"/>
          <w:szCs w:val="18"/>
          <w:u w:val="single"/>
        </w:rPr>
        <w:t>https://www.peta.org/issues/animals-used-for-food/factory-farming/turkeys/turkey-industry/</w:t>
      </w:r>
      <w:r>
        <w:fldChar w:fldCharType="end"/>
      </w:r>
    </w:p>
    <w:p w14:paraId="354BE13B" w14:textId="77777777" w:rsidR="00421FEF" w:rsidRDefault="006976E9">
      <w:pPr>
        <w:spacing w:after="60" w:line="252" w:lineRule="auto"/>
        <w:ind w:left="510" w:hanging="510"/>
      </w:pPr>
      <w:bookmarkStart w:id="82" w:name="ref83"/>
      <w:r>
        <w:rPr>
          <w:b/>
          <w:bCs/>
          <w:color w:val="1B5E20"/>
          <w:sz w:val="20"/>
          <w:szCs w:val="20"/>
        </w:rPr>
        <w:t xml:space="preserve">83. </w:t>
      </w:r>
      <w:bookmarkEnd w:id="82"/>
      <w:r>
        <w:fldChar w:fldCharType="begin"/>
      </w:r>
      <w:r>
        <w:instrText>HYPERLINK "https://www.farmtransparency.org/kb/food/turkeys"</w:instrText>
      </w:r>
      <w:r>
        <w:fldChar w:fldCharType="separate"/>
      </w:r>
      <w:r>
        <w:rPr>
          <w:color w:val="1A5FB4"/>
          <w:sz w:val="18"/>
          <w:szCs w:val="18"/>
          <w:u w:val="single"/>
        </w:rPr>
        <w:t>https://www.farmtransparency.org/kb/food/turkeys</w:t>
      </w:r>
      <w:r>
        <w:fldChar w:fldCharType="end"/>
      </w:r>
    </w:p>
    <w:p w14:paraId="354BE13C" w14:textId="77777777" w:rsidR="00421FEF" w:rsidRDefault="006976E9">
      <w:pPr>
        <w:spacing w:after="60" w:line="252" w:lineRule="auto"/>
        <w:ind w:left="510" w:hanging="510"/>
      </w:pPr>
      <w:bookmarkStart w:id="83" w:name="ref84"/>
      <w:r>
        <w:rPr>
          <w:b/>
          <w:bCs/>
          <w:color w:val="1B5E20"/>
          <w:sz w:val="20"/>
          <w:szCs w:val="20"/>
        </w:rPr>
        <w:t xml:space="preserve">84. </w:t>
      </w:r>
      <w:bookmarkEnd w:id="83"/>
      <w:r>
        <w:fldChar w:fldCharType="begin"/>
      </w:r>
      <w:r>
        <w:instrText>HYPERLINK "https://www.dairy.com.au/you-ask-we-answer/how-long-do-dairy-calves-stay-with-their-mothers-and-why-are-they-separated"</w:instrText>
      </w:r>
      <w:r>
        <w:fldChar w:fldCharType="separate"/>
      </w:r>
      <w:r>
        <w:rPr>
          <w:color w:val="1A5FB4"/>
          <w:sz w:val="18"/>
          <w:szCs w:val="18"/>
          <w:u w:val="single"/>
        </w:rPr>
        <w:t>https://www.dairy.com.au/you-ask-we-answer/how-long-do-dairy-calves-stay-with-their-mothers-and-why-are-they-separated</w:t>
      </w:r>
      <w:r>
        <w:fldChar w:fldCharType="end"/>
      </w:r>
    </w:p>
    <w:p w14:paraId="354BE13D" w14:textId="77777777" w:rsidR="00421FEF" w:rsidRDefault="006976E9">
      <w:pPr>
        <w:spacing w:after="60" w:line="252" w:lineRule="auto"/>
        <w:ind w:left="510" w:hanging="510"/>
      </w:pPr>
      <w:bookmarkStart w:id="84" w:name="ref85"/>
      <w:r>
        <w:rPr>
          <w:b/>
          <w:bCs/>
          <w:color w:val="1B5E20"/>
          <w:sz w:val="20"/>
          <w:szCs w:val="20"/>
        </w:rPr>
        <w:t xml:space="preserve">85. </w:t>
      </w:r>
      <w:bookmarkEnd w:id="84"/>
      <w:r>
        <w:fldChar w:fldCharType="begin"/>
      </w:r>
      <w:r>
        <w:instrText>HYPERLINK "https://www.facebook.com/thehumaneleague/posts/cows-need-to-give-birth-in-order-to-produce-milk-just-like-humans-so-the-dairy-i/"</w:instrText>
      </w:r>
      <w:r>
        <w:fldChar w:fldCharType="separate"/>
      </w:r>
      <w:r>
        <w:rPr>
          <w:color w:val="1A5FB4"/>
          <w:sz w:val="18"/>
          <w:szCs w:val="18"/>
          <w:u w:val="single"/>
        </w:rPr>
        <w:t>https://www.facebook.com/thehumaneleague/posts/cows-need-to-give-birth-in-order-to-produce-milk-just-like-humans-so-the-dairy-i/</w:t>
      </w:r>
      <w:r>
        <w:fldChar w:fldCharType="end"/>
      </w:r>
    </w:p>
    <w:p w14:paraId="354BE13E" w14:textId="77777777" w:rsidR="00421FEF" w:rsidRDefault="006976E9">
      <w:pPr>
        <w:spacing w:after="60" w:line="252" w:lineRule="auto"/>
        <w:ind w:left="510" w:hanging="510"/>
      </w:pPr>
      <w:bookmarkStart w:id="85" w:name="ref86"/>
      <w:r>
        <w:rPr>
          <w:b/>
          <w:bCs/>
          <w:color w:val="1B5E20"/>
          <w:sz w:val="20"/>
          <w:szCs w:val="20"/>
        </w:rPr>
        <w:t xml:space="preserve">86. </w:t>
      </w:r>
      <w:bookmarkEnd w:id="85"/>
      <w:r>
        <w:fldChar w:fldCharType="begin"/>
      </w:r>
      <w:r>
        <w:instrText>HYPERLINK "https://animalsaustralia.org/our-work/farmed-animals/what-happens-to-dairy-calves/"</w:instrText>
      </w:r>
      <w:r>
        <w:fldChar w:fldCharType="separate"/>
      </w:r>
      <w:r>
        <w:rPr>
          <w:color w:val="1A5FB4"/>
          <w:sz w:val="18"/>
          <w:szCs w:val="18"/>
          <w:u w:val="single"/>
        </w:rPr>
        <w:t>https://animalsaustralia.org/our-work/farmed-animals/what-happens-to-dairy-calves/</w:t>
      </w:r>
      <w:r>
        <w:fldChar w:fldCharType="end"/>
      </w:r>
    </w:p>
    <w:p w14:paraId="354BE13F" w14:textId="77777777" w:rsidR="00421FEF" w:rsidRDefault="006976E9">
      <w:pPr>
        <w:spacing w:after="60" w:line="252" w:lineRule="auto"/>
        <w:ind w:left="510" w:hanging="510"/>
      </w:pPr>
      <w:bookmarkStart w:id="86" w:name="ref87"/>
      <w:r>
        <w:rPr>
          <w:b/>
          <w:bCs/>
          <w:color w:val="1B5E20"/>
          <w:sz w:val="20"/>
          <w:szCs w:val="20"/>
        </w:rPr>
        <w:t xml:space="preserve">87. </w:t>
      </w:r>
      <w:bookmarkEnd w:id="86"/>
      <w:r>
        <w:fldChar w:fldCharType="begin"/>
      </w:r>
      <w:r>
        <w:instrText>HYPERLINK "https://www.wellbeingintlstudiesrepository.org/animsent/vol3/iss21/17/"</w:instrText>
      </w:r>
      <w:r>
        <w:fldChar w:fldCharType="separate"/>
      </w:r>
      <w:r>
        <w:rPr>
          <w:color w:val="1A5FB4"/>
          <w:sz w:val="18"/>
          <w:szCs w:val="18"/>
          <w:u w:val="single"/>
        </w:rPr>
        <w:t>https://www.wellbeingintlstudiesrepository.org/animsent/vol3/iss21/17/</w:t>
      </w:r>
      <w:r>
        <w:fldChar w:fldCharType="end"/>
      </w:r>
    </w:p>
    <w:p w14:paraId="354BE140" w14:textId="77777777" w:rsidR="00421FEF" w:rsidRDefault="006976E9">
      <w:pPr>
        <w:spacing w:after="60" w:line="252" w:lineRule="auto"/>
        <w:ind w:left="510" w:hanging="510"/>
      </w:pPr>
      <w:bookmarkStart w:id="87" w:name="ref88"/>
      <w:r>
        <w:rPr>
          <w:b/>
          <w:bCs/>
          <w:color w:val="1B5E20"/>
          <w:sz w:val="20"/>
          <w:szCs w:val="20"/>
        </w:rPr>
        <w:t xml:space="preserve">88. </w:t>
      </w:r>
      <w:bookmarkEnd w:id="87"/>
      <w:r>
        <w:fldChar w:fldCharType="begin"/>
      </w:r>
      <w:r>
        <w:instrText>HYPERLINK "https://www.ncbi.nlm.nih.gov/pmc/articles/PMC6920254/"</w:instrText>
      </w:r>
      <w:r>
        <w:fldChar w:fldCharType="separate"/>
      </w:r>
      <w:r>
        <w:rPr>
          <w:color w:val="1A5FB4"/>
          <w:sz w:val="18"/>
          <w:szCs w:val="18"/>
          <w:u w:val="single"/>
        </w:rPr>
        <w:t>https://www.ncbi.nlm.nih.gov/pmc/articles/PMC6920254/</w:t>
      </w:r>
      <w:r>
        <w:fldChar w:fldCharType="end"/>
      </w:r>
    </w:p>
    <w:p w14:paraId="354BE141" w14:textId="77777777" w:rsidR="00421FEF" w:rsidRDefault="006976E9">
      <w:pPr>
        <w:spacing w:after="60" w:line="252" w:lineRule="auto"/>
        <w:ind w:left="510" w:hanging="510"/>
      </w:pPr>
      <w:bookmarkStart w:id="88" w:name="ref89"/>
      <w:r>
        <w:rPr>
          <w:b/>
          <w:bCs/>
          <w:color w:val="1B5E20"/>
          <w:sz w:val="20"/>
          <w:szCs w:val="20"/>
        </w:rPr>
        <w:t xml:space="preserve">89. </w:t>
      </w:r>
      <w:bookmarkEnd w:id="88"/>
      <w:r>
        <w:fldChar w:fldCharType="begin"/>
      </w:r>
      <w:r>
        <w:instrText>HYPERLINK "https://www.cjccl.ca/wp-content/uploads/2020/11/Cassuto-OBrien.pdf"</w:instrText>
      </w:r>
      <w:r>
        <w:fldChar w:fldCharType="separate"/>
      </w:r>
      <w:r>
        <w:rPr>
          <w:color w:val="1A5FB4"/>
          <w:sz w:val="18"/>
          <w:szCs w:val="18"/>
          <w:u w:val="single"/>
        </w:rPr>
        <w:t>https://www.cjccl.ca/wp-content/uploads/2020/11/Cassuto-OBrien.pdf</w:t>
      </w:r>
      <w:r>
        <w:fldChar w:fldCharType="end"/>
      </w:r>
    </w:p>
    <w:sectPr w:rsidR="00421FEF">
      <w:footerReference w:type="default" r:id="rId18"/>
      <w:pgSz w:w="12240" w:h="15840"/>
      <w:pgMar w:top="1440" w:right="1440" w:bottom="1440" w:left="1440" w:header="708" w:footer="708"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018F44" w14:textId="77777777" w:rsidR="00F85A1F" w:rsidRDefault="00F85A1F">
      <w:r>
        <w:separator/>
      </w:r>
    </w:p>
  </w:endnote>
  <w:endnote w:type="continuationSeparator" w:id="0">
    <w:p w14:paraId="1C35F5C4" w14:textId="77777777" w:rsidR="00F85A1F" w:rsidRDefault="00F85A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ACFF" w:usb2="00000009" w:usb3="00000000" w:csb0="000001FF" w:csb1="00000000"/>
  </w:font>
  <w:font w:name="Georgia">
    <w:panose1 w:val="02040502050405020303"/>
    <w:charset w:val="00"/>
    <w:family w:val="roman"/>
    <w:pitch w:val="variable"/>
    <w:sig w:usb0="00000287" w:usb1="00000000" w:usb2="00000000" w:usb3="00000000" w:csb0="0000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4BE164" w14:textId="4C39207D" w:rsidR="00421FEF" w:rsidRDefault="006976E9">
    <w:pPr>
      <w:pBdr>
        <w:top w:val="single" w:sz="4" w:space="6" w:color="BFD8A8"/>
      </w:pBdr>
      <w:tabs>
        <w:tab w:val="right" w:pos="9360"/>
      </w:tabs>
      <w:spacing w:before="60"/>
    </w:pPr>
    <w:r>
      <w:rPr>
        <w:rFonts w:ascii="Georgia" w:eastAsia="Georgia" w:hAnsi="Georgia" w:cs="Georgia"/>
        <w:b/>
        <w:bCs/>
        <w:color w:val="1B5E20"/>
        <w:sz w:val="16"/>
        <w:szCs w:val="16"/>
      </w:rPr>
      <w:t>Love Our Earth</w:t>
    </w:r>
    <w:r>
      <w:rPr>
        <w:color w:val="5A7D3A"/>
        <w:sz w:val="16"/>
        <w:szCs w:val="16"/>
      </w:rPr>
      <w:t xml:space="preserve">    ·    loveourearth.com.au</w:t>
    </w:r>
    <w:r>
      <w:rPr>
        <w:sz w:val="16"/>
        <w:szCs w:val="16"/>
      </w:rPr>
      <w:tab/>
    </w:r>
    <w:r>
      <w:rPr>
        <w:color w:val="7A7A7A"/>
        <w:sz w:val="16"/>
        <w:szCs w:val="16"/>
      </w:rPr>
      <w:t xml:space="preserve">Page </w:t>
    </w:r>
    <w:r>
      <w:rPr>
        <w:color w:val="7A7A7A"/>
        <w:sz w:val="16"/>
        <w:szCs w:val="16"/>
      </w:rPr>
      <w:fldChar w:fldCharType="begin"/>
    </w:r>
    <w:r>
      <w:rPr>
        <w:color w:val="7A7A7A"/>
        <w:sz w:val="16"/>
        <w:szCs w:val="16"/>
      </w:rPr>
      <w:instrText>PAGE</w:instrText>
    </w:r>
    <w:r>
      <w:rPr>
        <w:color w:val="7A7A7A"/>
        <w:sz w:val="16"/>
        <w:szCs w:val="16"/>
      </w:rPr>
      <w:fldChar w:fldCharType="separate"/>
    </w:r>
    <w:r>
      <w:rPr>
        <w:noProof/>
        <w:color w:val="7A7A7A"/>
        <w:sz w:val="16"/>
        <w:szCs w:val="16"/>
      </w:rPr>
      <w:t>1</w:t>
    </w:r>
    <w:r>
      <w:rPr>
        <w:color w:val="7A7A7A"/>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8E1B01" w14:textId="77777777" w:rsidR="00F85A1F" w:rsidRDefault="00F85A1F">
      <w:r>
        <w:separator/>
      </w:r>
    </w:p>
  </w:footnote>
  <w:footnote w:type="continuationSeparator" w:id="0">
    <w:p w14:paraId="5613C94C" w14:textId="77777777" w:rsidR="00F85A1F" w:rsidRDefault="00F85A1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AEE6CDF"/>
    <w:multiLevelType w:val="hybridMultilevel"/>
    <w:tmpl w:val="E0BAD86C"/>
    <w:lvl w:ilvl="0" w:tplc="40A446EE">
      <w:start w:val="1"/>
      <w:numFmt w:val="bullet"/>
      <w:lvlText w:val="●"/>
      <w:lvlJc w:val="left"/>
      <w:pPr>
        <w:ind w:left="720" w:hanging="360"/>
      </w:pPr>
    </w:lvl>
    <w:lvl w:ilvl="1" w:tplc="7D440A06">
      <w:start w:val="1"/>
      <w:numFmt w:val="bullet"/>
      <w:lvlText w:val="○"/>
      <w:lvlJc w:val="left"/>
      <w:pPr>
        <w:ind w:left="1440" w:hanging="360"/>
      </w:pPr>
    </w:lvl>
    <w:lvl w:ilvl="2" w:tplc="057CCD8C">
      <w:start w:val="1"/>
      <w:numFmt w:val="bullet"/>
      <w:lvlText w:val="■"/>
      <w:lvlJc w:val="left"/>
      <w:pPr>
        <w:ind w:left="2160" w:hanging="360"/>
      </w:pPr>
    </w:lvl>
    <w:lvl w:ilvl="3" w:tplc="02969C84">
      <w:start w:val="1"/>
      <w:numFmt w:val="bullet"/>
      <w:lvlText w:val="●"/>
      <w:lvlJc w:val="left"/>
      <w:pPr>
        <w:ind w:left="2880" w:hanging="360"/>
      </w:pPr>
    </w:lvl>
    <w:lvl w:ilvl="4" w:tplc="F7D2E64E">
      <w:start w:val="1"/>
      <w:numFmt w:val="bullet"/>
      <w:lvlText w:val="○"/>
      <w:lvlJc w:val="left"/>
      <w:pPr>
        <w:ind w:left="3600" w:hanging="360"/>
      </w:pPr>
    </w:lvl>
    <w:lvl w:ilvl="5" w:tplc="D76A7C4A">
      <w:start w:val="1"/>
      <w:numFmt w:val="bullet"/>
      <w:lvlText w:val="■"/>
      <w:lvlJc w:val="left"/>
      <w:pPr>
        <w:ind w:left="4320" w:hanging="360"/>
      </w:pPr>
    </w:lvl>
    <w:lvl w:ilvl="6" w:tplc="C00C0474">
      <w:start w:val="1"/>
      <w:numFmt w:val="bullet"/>
      <w:lvlText w:val="●"/>
      <w:lvlJc w:val="left"/>
      <w:pPr>
        <w:ind w:left="5040" w:hanging="360"/>
      </w:pPr>
    </w:lvl>
    <w:lvl w:ilvl="7" w:tplc="4978D3B2">
      <w:start w:val="1"/>
      <w:numFmt w:val="bullet"/>
      <w:lvlText w:val="●"/>
      <w:lvlJc w:val="left"/>
      <w:pPr>
        <w:ind w:left="5760" w:hanging="360"/>
      </w:pPr>
    </w:lvl>
    <w:lvl w:ilvl="8" w:tplc="DD02305C">
      <w:start w:val="1"/>
      <w:numFmt w:val="bullet"/>
      <w:lvlText w:val="●"/>
      <w:lvlJc w:val="left"/>
      <w:pPr>
        <w:ind w:left="6480" w:hanging="360"/>
      </w:pPr>
    </w:lvl>
  </w:abstractNum>
  <w:abstractNum w:abstractNumId="1" w15:restartNumberingAfterBreak="0">
    <w:nsid w:val="66BD336C"/>
    <w:multiLevelType w:val="hybridMultilevel"/>
    <w:tmpl w:val="DC0A0574"/>
    <w:lvl w:ilvl="0" w:tplc="7870C058">
      <w:start w:val="1"/>
      <w:numFmt w:val="bullet"/>
      <w:lvlText w:val="•"/>
      <w:lvlJc w:val="left"/>
      <w:pPr>
        <w:ind w:left="540" w:hanging="280"/>
      </w:pPr>
      <w:rPr>
        <w:color w:val="3F8F45"/>
      </w:rPr>
    </w:lvl>
    <w:lvl w:ilvl="1" w:tplc="A22025FC">
      <w:numFmt w:val="decimal"/>
      <w:lvlText w:val=""/>
      <w:lvlJc w:val="left"/>
    </w:lvl>
    <w:lvl w:ilvl="2" w:tplc="7CE275E6">
      <w:numFmt w:val="decimal"/>
      <w:lvlText w:val=""/>
      <w:lvlJc w:val="left"/>
    </w:lvl>
    <w:lvl w:ilvl="3" w:tplc="953810D4">
      <w:numFmt w:val="decimal"/>
      <w:lvlText w:val=""/>
      <w:lvlJc w:val="left"/>
    </w:lvl>
    <w:lvl w:ilvl="4" w:tplc="00DC7AD0">
      <w:numFmt w:val="decimal"/>
      <w:lvlText w:val=""/>
      <w:lvlJc w:val="left"/>
    </w:lvl>
    <w:lvl w:ilvl="5" w:tplc="1E32A66A">
      <w:numFmt w:val="decimal"/>
      <w:lvlText w:val=""/>
      <w:lvlJc w:val="left"/>
    </w:lvl>
    <w:lvl w:ilvl="6" w:tplc="BA02700A">
      <w:numFmt w:val="decimal"/>
      <w:lvlText w:val=""/>
      <w:lvlJc w:val="left"/>
    </w:lvl>
    <w:lvl w:ilvl="7" w:tplc="B720C2A8">
      <w:numFmt w:val="decimal"/>
      <w:lvlText w:val=""/>
      <w:lvlJc w:val="left"/>
    </w:lvl>
    <w:lvl w:ilvl="8" w:tplc="1FEAB840">
      <w:numFmt w:val="decimal"/>
      <w:lvlText w:val=""/>
      <w:lvlJc w:val="left"/>
    </w:lvl>
  </w:abstractNum>
  <w:num w:numId="1" w16cid:durableId="1356885919">
    <w:abstractNumId w:val="0"/>
    <w:lvlOverride w:ilvl="0">
      <w:startOverride w:val="1"/>
    </w:lvlOverride>
  </w:num>
  <w:num w:numId="2" w16cid:durableId="2115205366">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1FEF"/>
    <w:rsid w:val="00060B8E"/>
    <w:rsid w:val="000C4D9B"/>
    <w:rsid w:val="000E1F26"/>
    <w:rsid w:val="00206872"/>
    <w:rsid w:val="00296443"/>
    <w:rsid w:val="002C7A54"/>
    <w:rsid w:val="003A0A17"/>
    <w:rsid w:val="00421FEF"/>
    <w:rsid w:val="004D6C73"/>
    <w:rsid w:val="00590430"/>
    <w:rsid w:val="005B72A5"/>
    <w:rsid w:val="006976E9"/>
    <w:rsid w:val="006C0748"/>
    <w:rsid w:val="006F0DF8"/>
    <w:rsid w:val="008557A3"/>
    <w:rsid w:val="009F6405"/>
    <w:rsid w:val="00A326D4"/>
    <w:rsid w:val="00AC107D"/>
    <w:rsid w:val="00B0406C"/>
    <w:rsid w:val="00B51691"/>
    <w:rsid w:val="00B87395"/>
    <w:rsid w:val="00BA04E1"/>
    <w:rsid w:val="00BA3730"/>
    <w:rsid w:val="00BF53B6"/>
    <w:rsid w:val="00C31F2B"/>
    <w:rsid w:val="00CA5A31"/>
    <w:rsid w:val="00DF500C"/>
    <w:rsid w:val="00E371FE"/>
    <w:rsid w:val="00EA5EF4"/>
    <w:rsid w:val="00F85A1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4BE074"/>
  <w15:docId w15:val="{0EA3B94D-7133-4240-A10D-B4067F4C86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color w:val="262626"/>
        <w:sz w:val="22"/>
        <w:szCs w:val="22"/>
        <w:lang w:val="en-AU" w:eastAsia="en-A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rFonts w:ascii="Georgia" w:eastAsia="Georgia" w:hAnsi="Georgia" w:cs="Georgia"/>
      <w:b/>
      <w:bCs/>
      <w:color w:val="1B5E20"/>
      <w:sz w:val="34"/>
      <w:szCs w:val="34"/>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 w:type="character" w:styleId="UnresolvedMention">
    <w:name w:val="Unresolved Mention"/>
    <w:basedOn w:val="DefaultParagraphFont"/>
    <w:uiPriority w:val="99"/>
    <w:semiHidden/>
    <w:unhideWhenUsed/>
    <w:rsid w:val="000E1F26"/>
    <w:rPr>
      <w:color w:val="605E5C"/>
      <w:shd w:val="clear" w:color="auto" w:fill="E1DFDD"/>
    </w:rPr>
  </w:style>
  <w:style w:type="paragraph" w:styleId="Header">
    <w:name w:val="header"/>
    <w:basedOn w:val="Normal"/>
    <w:link w:val="HeaderChar"/>
    <w:uiPriority w:val="99"/>
    <w:unhideWhenUsed/>
    <w:rsid w:val="009F6405"/>
    <w:pPr>
      <w:tabs>
        <w:tab w:val="center" w:pos="4513"/>
        <w:tab w:val="right" w:pos="9026"/>
      </w:tabs>
    </w:pPr>
  </w:style>
  <w:style w:type="character" w:customStyle="1" w:styleId="HeaderChar">
    <w:name w:val="Header Char"/>
    <w:basedOn w:val="DefaultParagraphFont"/>
    <w:link w:val="Header"/>
    <w:uiPriority w:val="99"/>
    <w:rsid w:val="009F6405"/>
  </w:style>
  <w:style w:type="paragraph" w:styleId="Footer">
    <w:name w:val="footer"/>
    <w:basedOn w:val="Normal"/>
    <w:link w:val="FooterChar"/>
    <w:uiPriority w:val="99"/>
    <w:unhideWhenUsed/>
    <w:rsid w:val="009F6405"/>
    <w:pPr>
      <w:tabs>
        <w:tab w:val="center" w:pos="4513"/>
        <w:tab w:val="right" w:pos="9026"/>
      </w:tabs>
    </w:pPr>
  </w:style>
  <w:style w:type="character" w:customStyle="1" w:styleId="FooterChar">
    <w:name w:val="Footer Char"/>
    <w:basedOn w:val="DefaultParagraphFont"/>
    <w:link w:val="Footer"/>
    <w:uiPriority w:val="99"/>
    <w:rsid w:val="009F640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image" Target="media/image11.jpe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23</TotalTime>
  <Pages>18</Pages>
  <Words>6467</Words>
  <Characters>36862</Characters>
  <Application>Microsoft Office Word</Application>
  <DocSecurity>0</DocSecurity>
  <Lines>307</Lines>
  <Paragraphs>86</Paragraphs>
  <ScaleCrop>false</ScaleCrop>
  <Company/>
  <LinksUpToDate>false</LinksUpToDate>
  <CharactersWithSpaces>43243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Love Our Earth — Three Reasons to Choose Plants</dc:title>
  <dc:creator>Love Our Earth</dc:creator>
  <cp:lastModifiedBy>Vincent He</cp:lastModifiedBy>
  <cp:revision>22</cp:revision>
  <dcterms:created xsi:type="dcterms:W3CDTF">2026-06-08T17:19:00Z</dcterms:created>
  <dcterms:modified xsi:type="dcterms:W3CDTF">2026-06-11T03:58:00Z</dcterms:modified>
</cp:coreProperties>
</file>